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41850" w14:textId="77777777" w:rsidR="00CD1D03" w:rsidRPr="00034260" w:rsidRDefault="00CD1D03" w:rsidP="00CD1D03">
      <w:pPr>
        <w:jc w:val="center"/>
        <w:rPr>
          <w:sz w:val="32"/>
          <w:szCs w:val="32"/>
        </w:rPr>
      </w:pPr>
    </w:p>
    <w:p w14:paraId="0F0DA52F" w14:textId="49C75011" w:rsidR="00123879" w:rsidRDefault="00123879" w:rsidP="00CD1D03">
      <w:pPr>
        <w:jc w:val="center"/>
        <w:rPr>
          <w:sz w:val="72"/>
          <w:szCs w:val="72"/>
        </w:rPr>
      </w:pPr>
      <w:r w:rsidRPr="00123879">
        <w:rPr>
          <w:sz w:val="72"/>
          <w:szCs w:val="72"/>
        </w:rPr>
        <w:drawing>
          <wp:inline distT="0" distB="0" distL="0" distR="0" wp14:anchorId="7E57738A" wp14:editId="489F9553">
            <wp:extent cx="3969771" cy="1347537"/>
            <wp:effectExtent l="0" t="0" r="0" b="5080"/>
            <wp:docPr id="578675421" name="Picture 1" descr="A green and white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675421" name="Picture 1" descr="A green and white sign&#10;&#10;AI-generated content may be incorrect."/>
                    <pic:cNvPicPr/>
                  </pic:nvPicPr>
                  <pic:blipFill>
                    <a:blip r:embed="rId11"/>
                    <a:stretch>
                      <a:fillRect/>
                    </a:stretch>
                  </pic:blipFill>
                  <pic:spPr>
                    <a:xfrm>
                      <a:off x="0" y="0"/>
                      <a:ext cx="3980252" cy="1351095"/>
                    </a:xfrm>
                    <a:prstGeom prst="rect">
                      <a:avLst/>
                    </a:prstGeom>
                  </pic:spPr>
                </pic:pic>
              </a:graphicData>
            </a:graphic>
          </wp:inline>
        </w:drawing>
      </w:r>
    </w:p>
    <w:p w14:paraId="60C431FA" w14:textId="77777777" w:rsidR="00123879" w:rsidRDefault="00123879" w:rsidP="00CD1D03">
      <w:pPr>
        <w:jc w:val="center"/>
        <w:rPr>
          <w:sz w:val="72"/>
          <w:szCs w:val="72"/>
        </w:rPr>
      </w:pPr>
    </w:p>
    <w:p w14:paraId="58141094" w14:textId="77777777" w:rsidR="00123879" w:rsidRDefault="00123879" w:rsidP="00CD1D03">
      <w:pPr>
        <w:jc w:val="center"/>
        <w:rPr>
          <w:sz w:val="72"/>
          <w:szCs w:val="72"/>
        </w:rPr>
      </w:pPr>
    </w:p>
    <w:p w14:paraId="7191CACC" w14:textId="61BE2EBE" w:rsidR="00CD1D03" w:rsidRPr="00CC2D77" w:rsidRDefault="007427A4" w:rsidP="00CD1D03">
      <w:pPr>
        <w:jc w:val="center"/>
        <w:rPr>
          <w:sz w:val="72"/>
          <w:szCs w:val="72"/>
        </w:rPr>
      </w:pPr>
      <w:r w:rsidRPr="00CC2D77">
        <w:rPr>
          <w:sz w:val="72"/>
          <w:szCs w:val="72"/>
        </w:rPr>
        <w:t>Eastleigh</w:t>
      </w:r>
      <w:r w:rsidR="00CD1D03" w:rsidRPr="00CC2D77">
        <w:rPr>
          <w:sz w:val="72"/>
          <w:szCs w:val="72"/>
        </w:rPr>
        <w:t xml:space="preserve"> </w:t>
      </w:r>
      <w:r w:rsidR="00CD1D03" w:rsidRPr="1D5BD74D">
        <w:rPr>
          <w:sz w:val="72"/>
          <w:szCs w:val="72"/>
        </w:rPr>
        <w:t>Borough</w:t>
      </w:r>
      <w:r w:rsidR="00CD1D03" w:rsidRPr="00CC2D77">
        <w:rPr>
          <w:sz w:val="72"/>
          <w:szCs w:val="72"/>
        </w:rPr>
        <w:t xml:space="preserve"> Council</w:t>
      </w:r>
    </w:p>
    <w:p w14:paraId="5C4F0DB2" w14:textId="5444422B" w:rsidR="00CD1D03" w:rsidRPr="00CC2D77" w:rsidRDefault="00CD1D03" w:rsidP="00CD1D03">
      <w:pPr>
        <w:jc w:val="center"/>
        <w:rPr>
          <w:sz w:val="72"/>
          <w:szCs w:val="72"/>
        </w:rPr>
      </w:pPr>
      <w:r w:rsidRPr="00CC2D77">
        <w:rPr>
          <w:sz w:val="72"/>
          <w:szCs w:val="72"/>
        </w:rPr>
        <w:t>Annual Infrastructure Funding Statement</w:t>
      </w:r>
    </w:p>
    <w:p w14:paraId="772AD19B" w14:textId="6095EF70" w:rsidR="009C5BAA" w:rsidRPr="00CC2D77" w:rsidRDefault="009C5BAA" w:rsidP="00CD1D03">
      <w:pPr>
        <w:jc w:val="center"/>
        <w:rPr>
          <w:sz w:val="48"/>
          <w:szCs w:val="48"/>
        </w:rPr>
      </w:pPr>
      <w:r w:rsidRPr="00CC2D77">
        <w:rPr>
          <w:sz w:val="48"/>
          <w:szCs w:val="48"/>
        </w:rPr>
        <w:t>For</w:t>
      </w:r>
    </w:p>
    <w:p w14:paraId="59AB4CA7" w14:textId="1FD66B1F" w:rsidR="00CD1D03" w:rsidRPr="00CC2D77" w:rsidRDefault="00CD1D03" w:rsidP="00CD1D03">
      <w:pPr>
        <w:jc w:val="center"/>
        <w:rPr>
          <w:sz w:val="48"/>
          <w:szCs w:val="48"/>
        </w:rPr>
      </w:pPr>
      <w:r w:rsidRPr="00CC2D77">
        <w:rPr>
          <w:sz w:val="48"/>
          <w:szCs w:val="48"/>
        </w:rPr>
        <w:t>Section 106</w:t>
      </w:r>
      <w:r w:rsidR="00D56470" w:rsidRPr="00CC2D77">
        <w:rPr>
          <w:sz w:val="48"/>
          <w:szCs w:val="48"/>
        </w:rPr>
        <w:t xml:space="preserve"> Planning Obligations</w:t>
      </w:r>
    </w:p>
    <w:p w14:paraId="785A57DA" w14:textId="77777777" w:rsidR="00CD1D03" w:rsidRPr="00CC2D77" w:rsidRDefault="00CD1D03" w:rsidP="00CD1D03">
      <w:pPr>
        <w:jc w:val="center"/>
        <w:rPr>
          <w:sz w:val="72"/>
          <w:szCs w:val="72"/>
        </w:rPr>
      </w:pPr>
    </w:p>
    <w:p w14:paraId="2D472505" w14:textId="77777777" w:rsidR="00DA3642" w:rsidRPr="00CC2D77" w:rsidRDefault="00CD1D03" w:rsidP="00CD1D03">
      <w:pPr>
        <w:jc w:val="center"/>
        <w:rPr>
          <w:sz w:val="36"/>
          <w:szCs w:val="36"/>
        </w:rPr>
      </w:pPr>
      <w:r w:rsidRPr="00CC2D77">
        <w:rPr>
          <w:sz w:val="36"/>
          <w:szCs w:val="36"/>
        </w:rPr>
        <w:t>Reporting Period:</w:t>
      </w:r>
    </w:p>
    <w:p w14:paraId="0B28B270" w14:textId="280B85BE" w:rsidR="00CD1D03" w:rsidRPr="00CC2D77" w:rsidRDefault="00CD1D03" w:rsidP="00CD1D03">
      <w:pPr>
        <w:jc w:val="center"/>
        <w:rPr>
          <w:sz w:val="36"/>
          <w:szCs w:val="36"/>
        </w:rPr>
      </w:pPr>
      <w:r w:rsidRPr="00CC2D77">
        <w:rPr>
          <w:sz w:val="36"/>
          <w:szCs w:val="36"/>
        </w:rPr>
        <w:t xml:space="preserve"> From 01 April 20</w:t>
      </w:r>
      <w:r w:rsidR="00CC2D77" w:rsidRPr="00CC2D77">
        <w:rPr>
          <w:sz w:val="36"/>
          <w:szCs w:val="36"/>
        </w:rPr>
        <w:t>2</w:t>
      </w:r>
      <w:r w:rsidR="00096D1B">
        <w:rPr>
          <w:sz w:val="36"/>
          <w:szCs w:val="36"/>
        </w:rPr>
        <w:t>3</w:t>
      </w:r>
      <w:r w:rsidRPr="00CC2D77">
        <w:rPr>
          <w:sz w:val="36"/>
          <w:szCs w:val="36"/>
        </w:rPr>
        <w:t xml:space="preserve"> to 31 March 202</w:t>
      </w:r>
      <w:r w:rsidR="00096D1B">
        <w:rPr>
          <w:sz w:val="36"/>
          <w:szCs w:val="36"/>
        </w:rPr>
        <w:t>4</w:t>
      </w:r>
    </w:p>
    <w:p w14:paraId="1024DD8F" w14:textId="77777777" w:rsidR="00FB2BCA" w:rsidRPr="00CC2D77" w:rsidRDefault="00FB2BCA" w:rsidP="00CD1D03">
      <w:pPr>
        <w:jc w:val="center"/>
        <w:rPr>
          <w:sz w:val="36"/>
          <w:szCs w:val="36"/>
          <w:highlight w:val="yellow"/>
        </w:rPr>
      </w:pPr>
    </w:p>
    <w:p w14:paraId="4E5E4AF3" w14:textId="77777777" w:rsidR="00FB2BCA" w:rsidRPr="00CC2D77" w:rsidRDefault="00FB2BCA" w:rsidP="00CD1D03">
      <w:pPr>
        <w:jc w:val="center"/>
        <w:rPr>
          <w:sz w:val="36"/>
          <w:szCs w:val="36"/>
          <w:highlight w:val="yellow"/>
        </w:rPr>
      </w:pPr>
    </w:p>
    <w:p w14:paraId="773E9BB4" w14:textId="77777777" w:rsidR="004D0915" w:rsidRPr="00CC2D77" w:rsidRDefault="004D0915" w:rsidP="00CD1D03">
      <w:pPr>
        <w:jc w:val="center"/>
        <w:rPr>
          <w:sz w:val="36"/>
          <w:szCs w:val="36"/>
          <w:highlight w:val="yellow"/>
        </w:rPr>
      </w:pPr>
    </w:p>
    <w:p w14:paraId="707EB8EC" w14:textId="1FDB7256" w:rsidR="001E089A" w:rsidRPr="00CC2D77" w:rsidRDefault="001E089A">
      <w:pPr>
        <w:rPr>
          <w:highlight w:val="yellow"/>
        </w:rPr>
      </w:pPr>
    </w:p>
    <w:p w14:paraId="40BE1267" w14:textId="56D4C5FE" w:rsidR="00FB2BCA" w:rsidRPr="00CC2D77" w:rsidRDefault="00FB2BCA">
      <w:pPr>
        <w:rPr>
          <w:highlight w:val="yellow"/>
        </w:rPr>
      </w:pPr>
    </w:p>
    <w:p w14:paraId="3BBC938A" w14:textId="4C74EF0C" w:rsidR="00FB2BCA" w:rsidRPr="00CC2D77" w:rsidRDefault="00FB2BCA">
      <w:pPr>
        <w:rPr>
          <w:highlight w:val="yellow"/>
        </w:rPr>
      </w:pPr>
    </w:p>
    <w:p w14:paraId="680F69FB" w14:textId="3AC26707" w:rsidR="00F6512D" w:rsidRPr="007636FF" w:rsidRDefault="00F6512D" w:rsidP="00F6512D">
      <w:pPr>
        <w:rPr>
          <w:b/>
          <w:bCs/>
          <w:sz w:val="36"/>
          <w:szCs w:val="36"/>
        </w:rPr>
      </w:pPr>
      <w:bookmarkStart w:id="0" w:name="_Hlk65486166"/>
      <w:r w:rsidRPr="52DED02B">
        <w:rPr>
          <w:b/>
          <w:bCs/>
          <w:sz w:val="36"/>
          <w:szCs w:val="36"/>
        </w:rPr>
        <w:t>Contents</w:t>
      </w:r>
      <w:r>
        <w:tab/>
      </w:r>
      <w:r>
        <w:tab/>
      </w:r>
      <w:r>
        <w:tab/>
      </w:r>
      <w:r>
        <w:tab/>
      </w:r>
      <w:r>
        <w:tab/>
      </w:r>
      <w:r>
        <w:tab/>
      </w:r>
      <w:r>
        <w:tab/>
      </w:r>
      <w:r>
        <w:tab/>
      </w:r>
      <w:r w:rsidR="00F328D5" w:rsidRPr="52DED02B">
        <w:rPr>
          <w:b/>
          <w:bCs/>
          <w:sz w:val="36"/>
          <w:szCs w:val="36"/>
        </w:rPr>
        <w:t xml:space="preserve">  </w:t>
      </w:r>
      <w:r w:rsidR="00257C43" w:rsidRPr="52DED02B">
        <w:rPr>
          <w:b/>
          <w:bCs/>
          <w:sz w:val="36"/>
          <w:szCs w:val="36"/>
        </w:rPr>
        <w:t xml:space="preserve">      </w:t>
      </w:r>
      <w:r w:rsidR="004E6B41" w:rsidRPr="52DED02B">
        <w:rPr>
          <w:b/>
          <w:bCs/>
          <w:sz w:val="36"/>
          <w:szCs w:val="36"/>
        </w:rPr>
        <w:t>P</w:t>
      </w:r>
      <w:r w:rsidR="00F84B57" w:rsidRPr="52DED02B">
        <w:rPr>
          <w:b/>
          <w:bCs/>
          <w:sz w:val="36"/>
          <w:szCs w:val="36"/>
        </w:rPr>
        <w:t>age</w:t>
      </w:r>
    </w:p>
    <w:p w14:paraId="22B91B64" w14:textId="62E7CC6B" w:rsidR="003D41C0" w:rsidRDefault="004B4AFF" w:rsidP="637E4710">
      <w:pPr>
        <w:pStyle w:val="TOC1"/>
        <w:rPr>
          <w:rFonts w:asciiTheme="minorHAnsi" w:hAnsiTheme="minorHAnsi" w:cstheme="minorBidi"/>
          <w:b w:val="0"/>
          <w:noProof/>
          <w:color w:val="auto"/>
          <w:kern w:val="2"/>
          <w:sz w:val="24"/>
          <w:lang w:val="en-GB" w:eastAsia="en-GB"/>
          <w14:ligatures w14:val="standardContextual"/>
        </w:rPr>
      </w:pPr>
      <w:r w:rsidRPr="007636FF">
        <w:rPr>
          <w:rFonts w:cs="Arial"/>
          <w:sz w:val="36"/>
          <w:szCs w:val="36"/>
        </w:rPr>
        <w:fldChar w:fldCharType="begin"/>
      </w:r>
      <w:r w:rsidRPr="637E4710">
        <w:rPr>
          <w:rFonts w:cs="Arial"/>
          <w:sz w:val="36"/>
          <w:szCs w:val="36"/>
        </w:rPr>
        <w:instrText xml:space="preserve"> TOC \h \z \t "Style1,1,Style2,2" </w:instrText>
      </w:r>
      <w:r w:rsidRPr="007636FF">
        <w:rPr>
          <w:rFonts w:cs="Arial"/>
          <w:sz w:val="36"/>
          <w:szCs w:val="36"/>
        </w:rPr>
        <w:fldChar w:fldCharType="separate"/>
      </w:r>
      <w:hyperlink w:anchor="_Toc179280784" w:history="1">
        <w:r w:rsidR="003D41C0" w:rsidRPr="00B369D4">
          <w:rPr>
            <w:rStyle w:val="Hyperlink"/>
            <w:noProof/>
          </w:rPr>
          <w:t>Section 1: Introduction</w:t>
        </w:r>
        <w:r>
          <w:tab/>
        </w:r>
        <w:r w:rsidRPr="637E4710">
          <w:rPr>
            <w:noProof/>
          </w:rPr>
          <w:fldChar w:fldCharType="begin"/>
        </w:r>
        <w:r w:rsidRPr="637E4710">
          <w:rPr>
            <w:noProof/>
          </w:rPr>
          <w:instrText xml:space="preserve"> PAGEREF _Toc179280784 \h </w:instrText>
        </w:r>
        <w:r w:rsidRPr="637E4710">
          <w:rPr>
            <w:noProof/>
          </w:rPr>
        </w:r>
        <w:r w:rsidRPr="637E4710">
          <w:rPr>
            <w:noProof/>
          </w:rPr>
          <w:fldChar w:fldCharType="separate"/>
        </w:r>
        <w:r w:rsidR="003D41C0">
          <w:rPr>
            <w:noProof/>
            <w:webHidden/>
          </w:rPr>
          <w:t>1</w:t>
        </w:r>
        <w:r w:rsidRPr="637E4710">
          <w:rPr>
            <w:noProof/>
          </w:rPr>
          <w:fldChar w:fldCharType="end"/>
        </w:r>
      </w:hyperlink>
    </w:p>
    <w:p w14:paraId="325C876C" w14:textId="666CD8C1" w:rsidR="003D41C0" w:rsidRDefault="003D41C0" w:rsidP="0095632F">
      <w:pPr>
        <w:pStyle w:val="TOC2"/>
        <w:ind w:left="0"/>
        <w:rPr>
          <w:rFonts w:asciiTheme="minorHAnsi" w:hAnsiTheme="minorHAnsi" w:cstheme="minorBidi"/>
          <w:b w:val="0"/>
          <w:color w:val="auto"/>
          <w:kern w:val="2"/>
          <w:sz w:val="24"/>
          <w:szCs w:val="24"/>
          <w:lang w:val="en-GB" w:eastAsia="en-GB"/>
          <w14:ligatures w14:val="standardContextual"/>
        </w:rPr>
      </w:pPr>
      <w:hyperlink w:anchor="_Toc179280785" w:history="1">
        <w:r w:rsidRPr="00B369D4">
          <w:rPr>
            <w:rStyle w:val="Hyperlink"/>
          </w:rPr>
          <w:t>Infrastructure Funding Statement requirements</w:t>
        </w:r>
        <w:r>
          <w:tab/>
        </w:r>
        <w:r>
          <w:fldChar w:fldCharType="begin"/>
        </w:r>
        <w:r>
          <w:instrText xml:space="preserve"> PAGEREF _Toc179280785 \h </w:instrText>
        </w:r>
        <w:r>
          <w:fldChar w:fldCharType="separate"/>
        </w:r>
        <w:r>
          <w:rPr>
            <w:webHidden/>
          </w:rPr>
          <w:t>1</w:t>
        </w:r>
        <w:r>
          <w:fldChar w:fldCharType="end"/>
        </w:r>
      </w:hyperlink>
    </w:p>
    <w:p w14:paraId="22C407A3" w14:textId="54E7F497" w:rsidR="003D41C0" w:rsidRDefault="003D41C0" w:rsidP="637E4710">
      <w:pPr>
        <w:pStyle w:val="TOC1"/>
        <w:rPr>
          <w:rFonts w:asciiTheme="minorHAnsi" w:hAnsiTheme="minorHAnsi" w:cstheme="minorBidi"/>
          <w:b w:val="0"/>
          <w:noProof/>
          <w:color w:val="auto"/>
          <w:kern w:val="2"/>
          <w:sz w:val="24"/>
          <w:lang w:val="en-GB" w:eastAsia="en-GB"/>
          <w14:ligatures w14:val="standardContextual"/>
        </w:rPr>
      </w:pPr>
      <w:hyperlink w:anchor="_Toc179280786" w:history="1">
        <w:r w:rsidRPr="00B369D4">
          <w:rPr>
            <w:rStyle w:val="Hyperlink"/>
            <w:noProof/>
          </w:rPr>
          <w:t>Section 2: Planning Obligations and infrastructure provision</w:t>
        </w:r>
        <w:r>
          <w:tab/>
        </w:r>
      </w:hyperlink>
      <w:r w:rsidR="00A02447">
        <w:rPr>
          <w:noProof/>
        </w:rPr>
        <w:t>2</w:t>
      </w:r>
    </w:p>
    <w:p w14:paraId="5565C40B" w14:textId="0191C6DC" w:rsidR="003D41C0" w:rsidRDefault="003D41C0" w:rsidP="0095632F">
      <w:pPr>
        <w:pStyle w:val="TOC2"/>
        <w:ind w:left="0"/>
        <w:rPr>
          <w:rFonts w:asciiTheme="minorHAnsi" w:hAnsiTheme="minorHAnsi" w:cstheme="minorBidi"/>
          <w:b w:val="0"/>
          <w:color w:val="auto"/>
          <w:kern w:val="2"/>
          <w:sz w:val="24"/>
          <w:szCs w:val="24"/>
          <w:lang w:val="en-GB" w:eastAsia="en-GB"/>
          <w14:ligatures w14:val="standardContextual"/>
        </w:rPr>
      </w:pPr>
      <w:hyperlink w:anchor="_Toc179280787" w:history="1">
        <w:r w:rsidRPr="00B369D4">
          <w:rPr>
            <w:rStyle w:val="Hyperlink"/>
          </w:rPr>
          <w:t>Infrastructure Provided and Maintained by Eastleigh Borough Council</w:t>
        </w:r>
        <w:r>
          <w:tab/>
        </w:r>
        <w:r>
          <w:fldChar w:fldCharType="begin"/>
        </w:r>
        <w:r>
          <w:instrText xml:space="preserve"> PAGEREF _Toc179280787 \h </w:instrText>
        </w:r>
        <w:r>
          <w:fldChar w:fldCharType="separate"/>
        </w:r>
        <w:r>
          <w:rPr>
            <w:webHidden/>
          </w:rPr>
          <w:t>2</w:t>
        </w:r>
        <w:r>
          <w:fldChar w:fldCharType="end"/>
        </w:r>
      </w:hyperlink>
    </w:p>
    <w:p w14:paraId="3C1EACF1" w14:textId="6F064910" w:rsidR="003D41C0" w:rsidRDefault="003D41C0" w:rsidP="0095632F">
      <w:pPr>
        <w:pStyle w:val="TOC2"/>
        <w:ind w:left="0"/>
        <w:rPr>
          <w:rFonts w:asciiTheme="minorHAnsi" w:hAnsiTheme="minorHAnsi" w:cstheme="minorBidi"/>
          <w:b w:val="0"/>
          <w:color w:val="auto"/>
          <w:kern w:val="2"/>
          <w:sz w:val="24"/>
          <w:szCs w:val="24"/>
          <w:lang w:val="en-GB" w:eastAsia="en-GB"/>
          <w14:ligatures w14:val="standardContextual"/>
        </w:rPr>
      </w:pPr>
      <w:hyperlink w:anchor="_Toc179280788" w:history="1">
        <w:r w:rsidRPr="00B369D4">
          <w:rPr>
            <w:rStyle w:val="Hyperlink"/>
          </w:rPr>
          <w:t>Eastleigh Borough Council’s Approach to Securing Planning Contributions</w:t>
        </w:r>
        <w:r>
          <w:tab/>
        </w:r>
        <w:r w:rsidR="00DF0724">
          <w:t>3</w:t>
        </w:r>
      </w:hyperlink>
    </w:p>
    <w:p w14:paraId="7FDD764F" w14:textId="6C6F02E1" w:rsidR="003D41C0" w:rsidRDefault="003D41C0" w:rsidP="0067302F">
      <w:pPr>
        <w:pStyle w:val="TOC2"/>
        <w:ind w:left="0"/>
        <w:rPr>
          <w:rFonts w:asciiTheme="minorHAnsi" w:hAnsiTheme="minorHAnsi" w:cstheme="minorBidi"/>
          <w:b w:val="0"/>
          <w:color w:val="auto"/>
          <w:kern w:val="2"/>
          <w:sz w:val="24"/>
          <w:szCs w:val="24"/>
          <w:lang w:val="en-GB" w:eastAsia="en-GB"/>
          <w14:ligatures w14:val="standardContextual"/>
        </w:rPr>
      </w:pPr>
      <w:hyperlink w:anchor="_Toc179280789" w:history="1">
        <w:r w:rsidRPr="00B369D4">
          <w:rPr>
            <w:rStyle w:val="Hyperlink"/>
          </w:rPr>
          <w:t>Mitigating Wider Sub-Regional Development Impacts</w:t>
        </w:r>
        <w:r>
          <w:rPr>
            <w:webHidden/>
          </w:rPr>
          <w:tab/>
        </w:r>
        <w:r w:rsidR="00F707C4">
          <w:rPr>
            <w:webHidden/>
          </w:rPr>
          <w:t>3</w:t>
        </w:r>
      </w:hyperlink>
    </w:p>
    <w:p w14:paraId="6E10AFF4" w14:textId="0A22693D" w:rsidR="003D41C0" w:rsidRDefault="003D41C0" w:rsidP="0067302F">
      <w:pPr>
        <w:pStyle w:val="TOC2"/>
        <w:ind w:left="0"/>
        <w:rPr>
          <w:rFonts w:asciiTheme="minorHAnsi" w:hAnsiTheme="minorHAnsi" w:cstheme="minorBidi"/>
          <w:b w:val="0"/>
          <w:color w:val="auto"/>
          <w:kern w:val="2"/>
          <w:sz w:val="24"/>
          <w:szCs w:val="24"/>
          <w:lang w:val="en-GB" w:eastAsia="en-GB"/>
          <w14:ligatures w14:val="standardContextual"/>
        </w:rPr>
      </w:pPr>
      <w:hyperlink w:anchor="_Toc179280790" w:history="1">
        <w:r w:rsidRPr="00B369D4">
          <w:rPr>
            <w:rStyle w:val="Hyperlink"/>
          </w:rPr>
          <w:t>Other Infrastructure Funding Sources</w:t>
        </w:r>
        <w:r>
          <w:rPr>
            <w:webHidden/>
          </w:rPr>
          <w:tab/>
        </w:r>
        <w:r>
          <w:rPr>
            <w:webHidden/>
          </w:rPr>
          <w:fldChar w:fldCharType="begin"/>
        </w:r>
        <w:r>
          <w:rPr>
            <w:webHidden/>
          </w:rPr>
          <w:instrText xml:space="preserve"> PAGEREF _Toc179280790 \h </w:instrText>
        </w:r>
        <w:r>
          <w:rPr>
            <w:webHidden/>
          </w:rPr>
        </w:r>
        <w:r>
          <w:rPr>
            <w:webHidden/>
          </w:rPr>
          <w:fldChar w:fldCharType="separate"/>
        </w:r>
        <w:r>
          <w:rPr>
            <w:webHidden/>
          </w:rPr>
          <w:t>6</w:t>
        </w:r>
        <w:r>
          <w:rPr>
            <w:webHidden/>
          </w:rPr>
          <w:fldChar w:fldCharType="end"/>
        </w:r>
      </w:hyperlink>
    </w:p>
    <w:p w14:paraId="113B1C34" w14:textId="1EA60104" w:rsidR="003D41C0" w:rsidRDefault="003D41C0">
      <w:pPr>
        <w:pStyle w:val="TOC1"/>
        <w:rPr>
          <w:rFonts w:asciiTheme="minorHAnsi" w:hAnsiTheme="minorHAnsi" w:cstheme="minorBidi"/>
          <w:b w:val="0"/>
          <w:noProof/>
          <w:color w:val="auto"/>
          <w:kern w:val="2"/>
          <w:sz w:val="24"/>
          <w:lang w:val="en-GB" w:eastAsia="en-GB"/>
          <w14:ligatures w14:val="standardContextual"/>
        </w:rPr>
      </w:pPr>
      <w:hyperlink w:anchor="_Toc179280791" w:history="1">
        <w:r w:rsidRPr="00B369D4">
          <w:rPr>
            <w:rStyle w:val="Hyperlink"/>
            <w:noProof/>
          </w:rPr>
          <w:t>Section 3: Developer Contributions Reporting for 2023/24</w:t>
        </w:r>
        <w:r>
          <w:rPr>
            <w:noProof/>
            <w:webHidden/>
          </w:rPr>
          <w:tab/>
        </w:r>
        <w:r>
          <w:rPr>
            <w:noProof/>
            <w:webHidden/>
          </w:rPr>
          <w:fldChar w:fldCharType="begin"/>
        </w:r>
        <w:r>
          <w:rPr>
            <w:noProof/>
            <w:webHidden/>
          </w:rPr>
          <w:instrText xml:space="preserve"> PAGEREF _Toc179280791 \h </w:instrText>
        </w:r>
        <w:r>
          <w:rPr>
            <w:noProof/>
            <w:webHidden/>
          </w:rPr>
        </w:r>
        <w:r>
          <w:rPr>
            <w:noProof/>
            <w:webHidden/>
          </w:rPr>
          <w:fldChar w:fldCharType="separate"/>
        </w:r>
        <w:r>
          <w:rPr>
            <w:noProof/>
            <w:webHidden/>
          </w:rPr>
          <w:t>7</w:t>
        </w:r>
        <w:r>
          <w:rPr>
            <w:noProof/>
            <w:webHidden/>
          </w:rPr>
          <w:fldChar w:fldCharType="end"/>
        </w:r>
      </w:hyperlink>
    </w:p>
    <w:p w14:paraId="23B5B469" w14:textId="65538060" w:rsidR="003D41C0" w:rsidRDefault="003D41C0" w:rsidP="0067302F">
      <w:pPr>
        <w:pStyle w:val="TOC2"/>
        <w:ind w:left="0"/>
        <w:rPr>
          <w:rFonts w:asciiTheme="minorHAnsi" w:hAnsiTheme="minorHAnsi" w:cstheme="minorBidi"/>
          <w:b w:val="0"/>
          <w:color w:val="auto"/>
          <w:kern w:val="2"/>
          <w:sz w:val="24"/>
          <w:szCs w:val="24"/>
          <w:lang w:val="en-GB" w:eastAsia="en-GB"/>
          <w14:ligatures w14:val="standardContextual"/>
        </w:rPr>
      </w:pPr>
      <w:hyperlink w:anchor="_Toc179280792" w:history="1">
        <w:r w:rsidRPr="00B369D4">
          <w:rPr>
            <w:rStyle w:val="Hyperlink"/>
          </w:rPr>
          <w:t>Summary of Financial Contributions Entered into in 2023/24</w:t>
        </w:r>
        <w:r>
          <w:rPr>
            <w:webHidden/>
          </w:rPr>
          <w:tab/>
        </w:r>
        <w:r>
          <w:rPr>
            <w:webHidden/>
          </w:rPr>
          <w:fldChar w:fldCharType="begin"/>
        </w:r>
        <w:r>
          <w:rPr>
            <w:webHidden/>
          </w:rPr>
          <w:instrText xml:space="preserve"> PAGEREF _Toc179280792 \h </w:instrText>
        </w:r>
        <w:r>
          <w:rPr>
            <w:webHidden/>
          </w:rPr>
        </w:r>
        <w:r>
          <w:rPr>
            <w:webHidden/>
          </w:rPr>
          <w:fldChar w:fldCharType="separate"/>
        </w:r>
        <w:r>
          <w:rPr>
            <w:webHidden/>
          </w:rPr>
          <w:t>1</w:t>
        </w:r>
        <w:r>
          <w:rPr>
            <w:webHidden/>
          </w:rPr>
          <w:fldChar w:fldCharType="end"/>
        </w:r>
      </w:hyperlink>
      <w:r w:rsidR="00A772EB">
        <w:t>3</w:t>
      </w:r>
    </w:p>
    <w:p w14:paraId="0CD6D87E" w14:textId="36F885D5" w:rsidR="003D41C0" w:rsidRDefault="003D41C0" w:rsidP="00CD2F8C">
      <w:pPr>
        <w:pStyle w:val="TOC2"/>
        <w:ind w:left="0"/>
        <w:rPr>
          <w:rFonts w:asciiTheme="minorHAnsi" w:hAnsiTheme="minorHAnsi" w:cstheme="minorBidi"/>
          <w:b w:val="0"/>
          <w:color w:val="auto"/>
          <w:kern w:val="2"/>
          <w:sz w:val="24"/>
          <w:szCs w:val="24"/>
          <w:lang w:val="en-GB" w:eastAsia="en-GB"/>
          <w14:ligatures w14:val="standardContextual"/>
        </w:rPr>
      </w:pPr>
      <w:hyperlink w:anchor="_Toc179280793" w:history="1">
        <w:r w:rsidRPr="00B369D4">
          <w:rPr>
            <w:rStyle w:val="Hyperlink"/>
          </w:rPr>
          <w:t>Summary of Planning Obligations Entered into in 2023/34 to be Provided for Directly by Developers</w:t>
        </w:r>
        <w:r>
          <w:rPr>
            <w:webHidden/>
          </w:rPr>
          <w:tab/>
        </w:r>
        <w:r>
          <w:rPr>
            <w:webHidden/>
          </w:rPr>
          <w:fldChar w:fldCharType="begin"/>
        </w:r>
        <w:r>
          <w:rPr>
            <w:webHidden/>
          </w:rPr>
          <w:instrText xml:space="preserve"> PAGEREF _Toc179280793 \h </w:instrText>
        </w:r>
        <w:r>
          <w:rPr>
            <w:webHidden/>
          </w:rPr>
        </w:r>
        <w:r>
          <w:rPr>
            <w:webHidden/>
          </w:rPr>
          <w:fldChar w:fldCharType="separate"/>
        </w:r>
        <w:r>
          <w:rPr>
            <w:webHidden/>
          </w:rPr>
          <w:t>13</w:t>
        </w:r>
        <w:r>
          <w:rPr>
            <w:webHidden/>
          </w:rPr>
          <w:fldChar w:fldCharType="end"/>
        </w:r>
      </w:hyperlink>
    </w:p>
    <w:p w14:paraId="293C2407" w14:textId="4A65C701" w:rsidR="003D41C0" w:rsidRDefault="003D41C0" w:rsidP="00CD2F8C">
      <w:pPr>
        <w:pStyle w:val="TOC2"/>
        <w:ind w:left="0"/>
        <w:rPr>
          <w:rFonts w:asciiTheme="minorHAnsi" w:hAnsiTheme="minorHAnsi" w:cstheme="minorBidi"/>
          <w:b w:val="0"/>
          <w:color w:val="auto"/>
          <w:kern w:val="2"/>
          <w:sz w:val="24"/>
          <w:szCs w:val="24"/>
          <w:lang w:val="en-GB" w:eastAsia="en-GB"/>
          <w14:ligatures w14:val="standardContextual"/>
        </w:rPr>
      </w:pPr>
      <w:hyperlink w:anchor="_Toc179280794" w:history="1">
        <w:r w:rsidRPr="00B369D4">
          <w:rPr>
            <w:rStyle w:val="Hyperlink"/>
          </w:rPr>
          <w:t>Summary of Financial Contributions Received in 2023/24</w:t>
        </w:r>
        <w:r>
          <w:rPr>
            <w:webHidden/>
          </w:rPr>
          <w:tab/>
        </w:r>
        <w:r>
          <w:rPr>
            <w:webHidden/>
          </w:rPr>
          <w:fldChar w:fldCharType="begin"/>
        </w:r>
        <w:r>
          <w:rPr>
            <w:webHidden/>
          </w:rPr>
          <w:instrText xml:space="preserve"> PAGEREF _Toc179280794 \h </w:instrText>
        </w:r>
        <w:r>
          <w:rPr>
            <w:webHidden/>
          </w:rPr>
        </w:r>
        <w:r>
          <w:rPr>
            <w:webHidden/>
          </w:rPr>
          <w:fldChar w:fldCharType="separate"/>
        </w:r>
        <w:r>
          <w:rPr>
            <w:webHidden/>
          </w:rPr>
          <w:t>1</w:t>
        </w:r>
        <w:r w:rsidR="00900A69">
          <w:rPr>
            <w:webHidden/>
          </w:rPr>
          <w:t>3</w:t>
        </w:r>
        <w:r>
          <w:rPr>
            <w:webHidden/>
          </w:rPr>
          <w:fldChar w:fldCharType="end"/>
        </w:r>
      </w:hyperlink>
    </w:p>
    <w:p w14:paraId="033EFA9C" w14:textId="647C51BB" w:rsidR="003D41C0" w:rsidRDefault="003D41C0" w:rsidP="00900A69">
      <w:pPr>
        <w:pStyle w:val="TOC2"/>
        <w:ind w:left="0"/>
        <w:rPr>
          <w:rFonts w:asciiTheme="minorHAnsi" w:hAnsiTheme="minorHAnsi" w:cstheme="minorBidi"/>
          <w:b w:val="0"/>
          <w:color w:val="auto"/>
          <w:kern w:val="2"/>
          <w:sz w:val="24"/>
          <w:szCs w:val="24"/>
          <w:lang w:val="en-GB" w:eastAsia="en-GB"/>
          <w14:ligatures w14:val="standardContextual"/>
        </w:rPr>
      </w:pPr>
      <w:hyperlink w:anchor="_Toc179280795" w:history="1">
        <w:r w:rsidRPr="00B369D4">
          <w:rPr>
            <w:rStyle w:val="Hyperlink"/>
          </w:rPr>
          <w:t>Developer Contributions Returned to Developers in 2023/24</w:t>
        </w:r>
        <w:r>
          <w:rPr>
            <w:webHidden/>
          </w:rPr>
          <w:tab/>
        </w:r>
        <w:r>
          <w:rPr>
            <w:webHidden/>
          </w:rPr>
          <w:fldChar w:fldCharType="begin"/>
        </w:r>
        <w:r>
          <w:rPr>
            <w:webHidden/>
          </w:rPr>
          <w:instrText xml:space="preserve"> PAGEREF _Toc179280795 \h </w:instrText>
        </w:r>
        <w:r>
          <w:rPr>
            <w:webHidden/>
          </w:rPr>
        </w:r>
        <w:r>
          <w:rPr>
            <w:webHidden/>
          </w:rPr>
          <w:fldChar w:fldCharType="separate"/>
        </w:r>
        <w:r>
          <w:rPr>
            <w:webHidden/>
          </w:rPr>
          <w:t>1</w:t>
        </w:r>
        <w:r>
          <w:rPr>
            <w:webHidden/>
          </w:rPr>
          <w:fldChar w:fldCharType="end"/>
        </w:r>
      </w:hyperlink>
      <w:r w:rsidR="00900A69">
        <w:t>6</w:t>
      </w:r>
    </w:p>
    <w:p w14:paraId="2220F2E3" w14:textId="4DAA0EFE" w:rsidR="003D41C0" w:rsidRDefault="003D41C0" w:rsidP="00FC71E8">
      <w:pPr>
        <w:pStyle w:val="TOC2"/>
        <w:ind w:left="0"/>
        <w:rPr>
          <w:rFonts w:asciiTheme="minorHAnsi" w:hAnsiTheme="minorHAnsi" w:cstheme="minorBidi"/>
          <w:b w:val="0"/>
          <w:color w:val="auto"/>
          <w:kern w:val="2"/>
          <w:sz w:val="24"/>
          <w:szCs w:val="24"/>
          <w:lang w:val="en-GB" w:eastAsia="en-GB"/>
          <w14:ligatures w14:val="standardContextual"/>
        </w:rPr>
      </w:pPr>
      <w:hyperlink w:anchor="_Toc179280796" w:history="1">
        <w:r w:rsidRPr="00B369D4">
          <w:rPr>
            <w:rStyle w:val="Hyperlink"/>
          </w:rPr>
          <w:t xml:space="preserve">Monitoring Fees </w:t>
        </w:r>
        <w:r>
          <w:rPr>
            <w:webHidden/>
          </w:rPr>
          <w:tab/>
        </w:r>
        <w:r>
          <w:rPr>
            <w:webHidden/>
          </w:rPr>
          <w:fldChar w:fldCharType="begin"/>
        </w:r>
        <w:r>
          <w:rPr>
            <w:webHidden/>
          </w:rPr>
          <w:instrText xml:space="preserve"> PAGEREF _Toc179280796 \h </w:instrText>
        </w:r>
        <w:r>
          <w:rPr>
            <w:webHidden/>
          </w:rPr>
        </w:r>
        <w:r>
          <w:rPr>
            <w:webHidden/>
          </w:rPr>
          <w:fldChar w:fldCharType="separate"/>
        </w:r>
        <w:r>
          <w:rPr>
            <w:webHidden/>
          </w:rPr>
          <w:t>1</w:t>
        </w:r>
        <w:r>
          <w:rPr>
            <w:webHidden/>
          </w:rPr>
          <w:fldChar w:fldCharType="end"/>
        </w:r>
      </w:hyperlink>
      <w:r w:rsidR="00FC71E8">
        <w:t>6</w:t>
      </w:r>
    </w:p>
    <w:p w14:paraId="6512BB7E" w14:textId="070FA8B7" w:rsidR="003D41C0" w:rsidRDefault="003D41C0">
      <w:pPr>
        <w:pStyle w:val="TOC1"/>
        <w:rPr>
          <w:rFonts w:asciiTheme="minorHAnsi" w:hAnsiTheme="minorHAnsi" w:cstheme="minorBidi"/>
          <w:b w:val="0"/>
          <w:noProof/>
          <w:color w:val="auto"/>
          <w:kern w:val="2"/>
          <w:sz w:val="24"/>
          <w:lang w:val="en-GB" w:eastAsia="en-GB"/>
          <w14:ligatures w14:val="standardContextual"/>
        </w:rPr>
      </w:pPr>
      <w:hyperlink w:anchor="_Toc179280797" w:history="1">
        <w:r w:rsidRPr="00B369D4">
          <w:rPr>
            <w:rStyle w:val="Hyperlink"/>
            <w:noProof/>
          </w:rPr>
          <w:t xml:space="preserve">Section 4: Local Plan Review – Future Infrastructure Delivery Beyond 2036 </w:t>
        </w:r>
        <w:r>
          <w:rPr>
            <w:noProof/>
            <w:webHidden/>
          </w:rPr>
          <w:tab/>
        </w:r>
        <w:r>
          <w:rPr>
            <w:noProof/>
            <w:webHidden/>
          </w:rPr>
          <w:fldChar w:fldCharType="begin"/>
        </w:r>
        <w:r>
          <w:rPr>
            <w:noProof/>
            <w:webHidden/>
          </w:rPr>
          <w:instrText xml:space="preserve"> PAGEREF _Toc179280797 \h </w:instrText>
        </w:r>
        <w:r>
          <w:rPr>
            <w:noProof/>
            <w:webHidden/>
          </w:rPr>
        </w:r>
        <w:r>
          <w:rPr>
            <w:noProof/>
            <w:webHidden/>
          </w:rPr>
          <w:fldChar w:fldCharType="separate"/>
        </w:r>
        <w:r>
          <w:rPr>
            <w:noProof/>
            <w:webHidden/>
          </w:rPr>
          <w:t>1</w:t>
        </w:r>
        <w:r>
          <w:rPr>
            <w:noProof/>
            <w:webHidden/>
          </w:rPr>
          <w:fldChar w:fldCharType="end"/>
        </w:r>
      </w:hyperlink>
      <w:r w:rsidR="00FC71E8">
        <w:rPr>
          <w:noProof/>
        </w:rPr>
        <w:t>8</w:t>
      </w:r>
    </w:p>
    <w:p w14:paraId="52AECED8" w14:textId="77777777" w:rsidR="00CD434D" w:rsidRDefault="004B4AFF" w:rsidP="00B514F0">
      <w:pPr>
        <w:rPr>
          <w:b/>
          <w:bCs/>
          <w:sz w:val="36"/>
          <w:szCs w:val="36"/>
        </w:rPr>
      </w:pPr>
      <w:r w:rsidRPr="007636FF">
        <w:rPr>
          <w:b/>
          <w:bCs/>
          <w:sz w:val="36"/>
          <w:szCs w:val="36"/>
        </w:rPr>
        <w:fldChar w:fldCharType="end"/>
      </w:r>
    </w:p>
    <w:p w14:paraId="5AA4F72C" w14:textId="4125655F" w:rsidR="00B514F0" w:rsidRPr="007636FF" w:rsidRDefault="007161E5" w:rsidP="00B514F0">
      <w:pPr>
        <w:rPr>
          <w:b/>
          <w:bCs/>
          <w:sz w:val="36"/>
          <w:szCs w:val="36"/>
        </w:rPr>
      </w:pPr>
      <w:r w:rsidRPr="007636FF">
        <w:rPr>
          <w:bCs/>
          <w:sz w:val="36"/>
          <w:szCs w:val="36"/>
        </w:rPr>
        <w:fldChar w:fldCharType="begin"/>
      </w:r>
      <w:r w:rsidRPr="007636FF">
        <w:rPr>
          <w:bCs/>
          <w:sz w:val="36"/>
          <w:szCs w:val="36"/>
        </w:rPr>
        <w:instrText xml:space="preserve"> TOC \h \z \t "Style1,1,Style2,2" </w:instrText>
      </w:r>
      <w:r w:rsidRPr="007636FF">
        <w:rPr>
          <w:bCs/>
          <w:sz w:val="36"/>
          <w:szCs w:val="36"/>
        </w:rPr>
        <w:fldChar w:fldCharType="separate"/>
      </w:r>
      <w:r w:rsidRPr="007636FF">
        <w:rPr>
          <w:b/>
          <w:bCs/>
          <w:sz w:val="36"/>
          <w:szCs w:val="36"/>
        </w:rPr>
        <w:fldChar w:fldCharType="end"/>
      </w:r>
      <w:bookmarkStart w:id="1" w:name="_Hlk65486737"/>
      <w:bookmarkEnd w:id="0"/>
      <w:r w:rsidR="00B514F0" w:rsidRPr="007636FF">
        <w:rPr>
          <w:b/>
          <w:bCs/>
          <w:sz w:val="36"/>
          <w:szCs w:val="36"/>
        </w:rPr>
        <w:t xml:space="preserve">Tables and Charts </w:t>
      </w:r>
    </w:p>
    <w:bookmarkEnd w:id="1"/>
    <w:p w14:paraId="276A91B6" w14:textId="1E4568C0" w:rsidR="002743AF" w:rsidRPr="00194CBB" w:rsidRDefault="00486CF5" w:rsidP="00D67398">
      <w:pPr>
        <w:pStyle w:val="TOC2"/>
        <w:ind w:left="0"/>
        <w:rPr>
          <w:rFonts w:asciiTheme="minorHAnsi" w:hAnsiTheme="minorHAnsi" w:cstheme="minorBidi"/>
          <w:b w:val="0"/>
          <w:color w:val="auto"/>
          <w:kern w:val="2"/>
          <w:sz w:val="24"/>
          <w:lang w:val="en-GB" w:eastAsia="en-GB"/>
          <w14:ligatures w14:val="standardContextual"/>
        </w:rPr>
      </w:pPr>
      <w:r w:rsidRPr="007636FF">
        <w:rPr>
          <w:rStyle w:val="Hyperlink"/>
          <w:b w:val="0"/>
          <w:color w:val="auto"/>
          <w:szCs w:val="24"/>
          <w:u w:val="none"/>
        </w:rPr>
        <w:fldChar w:fldCharType="begin"/>
      </w:r>
      <w:r w:rsidRPr="007636FF">
        <w:rPr>
          <w:rStyle w:val="Hyperlink"/>
          <w:color w:val="auto"/>
          <w:u w:val="none"/>
        </w:rPr>
        <w:instrText xml:space="preserve"> TOC \h \z \t "Style3,1" </w:instrText>
      </w:r>
      <w:r w:rsidRPr="007636FF">
        <w:rPr>
          <w:rStyle w:val="Hyperlink"/>
          <w:b w:val="0"/>
          <w:color w:val="auto"/>
          <w:szCs w:val="24"/>
          <w:u w:val="none"/>
        </w:rPr>
        <w:fldChar w:fldCharType="separate"/>
      </w:r>
      <w:hyperlink w:anchor="_Toc179279251" w:history="1">
        <w:r w:rsidR="002743AF" w:rsidRPr="00194CBB">
          <w:rPr>
            <w:rStyle w:val="Hyperlink"/>
          </w:rPr>
          <w:t>Table 1: Examples of infrastructure provided by Eastleigh Borough Council and Hampshire County Council</w:t>
        </w:r>
        <w:r w:rsidR="002743AF" w:rsidRPr="00194CBB">
          <w:rPr>
            <w:webHidden/>
          </w:rPr>
          <w:tab/>
        </w:r>
        <w:r w:rsidR="002743AF" w:rsidRPr="00194CBB">
          <w:rPr>
            <w:webHidden/>
          </w:rPr>
          <w:fldChar w:fldCharType="begin"/>
        </w:r>
        <w:r w:rsidR="002743AF" w:rsidRPr="00194CBB">
          <w:rPr>
            <w:webHidden/>
          </w:rPr>
          <w:instrText xml:space="preserve"> PAGEREF _Toc179279251 \h </w:instrText>
        </w:r>
        <w:r w:rsidR="002743AF" w:rsidRPr="00194CBB">
          <w:rPr>
            <w:webHidden/>
          </w:rPr>
        </w:r>
        <w:r w:rsidR="002743AF" w:rsidRPr="00194CBB">
          <w:rPr>
            <w:webHidden/>
          </w:rPr>
          <w:fldChar w:fldCharType="separate"/>
        </w:r>
        <w:r w:rsidR="002743AF" w:rsidRPr="00194CBB">
          <w:rPr>
            <w:webHidden/>
          </w:rPr>
          <w:t>2</w:t>
        </w:r>
        <w:r w:rsidR="002743AF" w:rsidRPr="00194CBB">
          <w:rPr>
            <w:webHidden/>
          </w:rPr>
          <w:fldChar w:fldCharType="end"/>
        </w:r>
      </w:hyperlink>
    </w:p>
    <w:p w14:paraId="3E64CB4F" w14:textId="09E16B7C" w:rsidR="002743AF" w:rsidRPr="00194CBB" w:rsidRDefault="002743AF" w:rsidP="00D67398">
      <w:pPr>
        <w:pStyle w:val="TOC2"/>
        <w:ind w:left="0"/>
        <w:rPr>
          <w:rFonts w:asciiTheme="minorHAnsi" w:hAnsiTheme="minorHAnsi" w:cstheme="minorBidi"/>
          <w:b w:val="0"/>
          <w:color w:val="auto"/>
          <w:kern w:val="2"/>
          <w:sz w:val="24"/>
          <w:lang w:val="en-GB" w:eastAsia="en-GB"/>
          <w14:ligatures w14:val="standardContextual"/>
        </w:rPr>
      </w:pPr>
      <w:hyperlink w:anchor="_Toc179279252" w:history="1">
        <w:r w:rsidRPr="00194CBB">
          <w:rPr>
            <w:rStyle w:val="Hyperlink"/>
          </w:rPr>
          <w:t>Table 2: Financial Contributions Data for the 2023/24 Reporting Year</w:t>
        </w:r>
        <w:r w:rsidRPr="00194CBB">
          <w:rPr>
            <w:webHidden/>
          </w:rPr>
          <w:tab/>
        </w:r>
        <w:r w:rsidRPr="00194CBB">
          <w:rPr>
            <w:webHidden/>
          </w:rPr>
          <w:fldChar w:fldCharType="begin"/>
        </w:r>
        <w:r w:rsidRPr="00194CBB">
          <w:rPr>
            <w:webHidden/>
          </w:rPr>
          <w:instrText xml:space="preserve"> PAGEREF _Toc179279252 \h </w:instrText>
        </w:r>
        <w:r w:rsidRPr="00194CBB">
          <w:rPr>
            <w:webHidden/>
          </w:rPr>
        </w:r>
        <w:r w:rsidRPr="00194CBB">
          <w:rPr>
            <w:webHidden/>
          </w:rPr>
          <w:fldChar w:fldCharType="separate"/>
        </w:r>
        <w:r w:rsidRPr="00194CBB">
          <w:rPr>
            <w:webHidden/>
          </w:rPr>
          <w:t>7</w:t>
        </w:r>
        <w:r w:rsidRPr="00194CBB">
          <w:rPr>
            <w:webHidden/>
          </w:rPr>
          <w:fldChar w:fldCharType="end"/>
        </w:r>
      </w:hyperlink>
    </w:p>
    <w:p w14:paraId="3BD86786" w14:textId="59FDCC5B" w:rsidR="002743AF" w:rsidRPr="00194CBB" w:rsidRDefault="002743AF" w:rsidP="00D67398">
      <w:pPr>
        <w:pStyle w:val="TOC2"/>
        <w:ind w:left="0"/>
        <w:rPr>
          <w:rFonts w:asciiTheme="minorHAnsi" w:hAnsiTheme="minorHAnsi" w:cstheme="minorBidi"/>
          <w:b w:val="0"/>
          <w:color w:val="auto"/>
          <w:kern w:val="2"/>
          <w:sz w:val="24"/>
          <w:lang w:val="en-GB" w:eastAsia="en-GB"/>
          <w14:ligatures w14:val="standardContextual"/>
        </w:rPr>
      </w:pPr>
      <w:hyperlink w:anchor="_Toc179279253" w:history="1">
        <w:r w:rsidRPr="00194CBB">
          <w:rPr>
            <w:rStyle w:val="Hyperlink"/>
          </w:rPr>
          <w:t xml:space="preserve">Table 3: Key Developer Contributions Data for the 2023/24 Reporting Year – Breakdown by Infrastructure Type </w:t>
        </w:r>
        <w:r w:rsidRPr="00194CBB">
          <w:rPr>
            <w:webHidden/>
          </w:rPr>
          <w:tab/>
        </w:r>
        <w:r w:rsidRPr="00194CBB">
          <w:rPr>
            <w:webHidden/>
          </w:rPr>
          <w:fldChar w:fldCharType="begin"/>
        </w:r>
        <w:r w:rsidRPr="00194CBB">
          <w:rPr>
            <w:webHidden/>
          </w:rPr>
          <w:instrText xml:space="preserve"> PAGEREF _Toc179279253 \h </w:instrText>
        </w:r>
        <w:r w:rsidRPr="00194CBB">
          <w:rPr>
            <w:webHidden/>
          </w:rPr>
        </w:r>
        <w:r w:rsidRPr="00194CBB">
          <w:rPr>
            <w:webHidden/>
          </w:rPr>
          <w:fldChar w:fldCharType="separate"/>
        </w:r>
        <w:r w:rsidRPr="00194CBB">
          <w:rPr>
            <w:webHidden/>
          </w:rPr>
          <w:t>9</w:t>
        </w:r>
        <w:r w:rsidRPr="00194CBB">
          <w:rPr>
            <w:webHidden/>
          </w:rPr>
          <w:fldChar w:fldCharType="end"/>
        </w:r>
      </w:hyperlink>
    </w:p>
    <w:p w14:paraId="71622910" w14:textId="06ED5851" w:rsidR="0019483F" w:rsidRPr="00CC2D77" w:rsidRDefault="002743AF" w:rsidP="0012725D">
      <w:pPr>
        <w:pStyle w:val="TOC2"/>
        <w:ind w:left="0"/>
        <w:rPr>
          <w:b w:val="0"/>
          <w:bCs/>
          <w:highlight w:val="yellow"/>
        </w:rPr>
        <w:sectPr w:rsidR="0019483F" w:rsidRPr="00CC2D77" w:rsidSect="00AE14BF">
          <w:pgSz w:w="11906" w:h="16838"/>
          <w:pgMar w:top="1440" w:right="1416" w:bottom="1440" w:left="1440" w:header="708" w:footer="708" w:gutter="0"/>
          <w:cols w:space="708"/>
          <w:docGrid w:linePitch="360"/>
        </w:sectPr>
      </w:pPr>
      <w:hyperlink w:anchor="_Toc179279254" w:history="1">
        <w:r w:rsidRPr="00194CBB">
          <w:rPr>
            <w:rStyle w:val="Hyperlink"/>
          </w:rPr>
          <w:t xml:space="preserve">Table </w:t>
        </w:r>
        <w:r w:rsidR="00B73E05" w:rsidRPr="00194CBB">
          <w:rPr>
            <w:rStyle w:val="Hyperlink"/>
          </w:rPr>
          <w:t>4</w:t>
        </w:r>
        <w:r w:rsidRPr="00194CBB">
          <w:rPr>
            <w:rStyle w:val="Hyperlink"/>
          </w:rPr>
          <w:t>: Monitoring Fees</w:t>
        </w:r>
        <w:r w:rsidRPr="00194CBB">
          <w:rPr>
            <w:webHidden/>
          </w:rPr>
          <w:tab/>
        </w:r>
        <w:r w:rsidRPr="00194CBB">
          <w:rPr>
            <w:webHidden/>
          </w:rPr>
          <w:fldChar w:fldCharType="begin"/>
        </w:r>
        <w:r w:rsidRPr="00194CBB">
          <w:rPr>
            <w:webHidden/>
          </w:rPr>
          <w:instrText xml:space="preserve"> PAGEREF _Toc179279254 \h </w:instrText>
        </w:r>
        <w:r w:rsidRPr="00194CBB">
          <w:rPr>
            <w:webHidden/>
          </w:rPr>
        </w:r>
        <w:r w:rsidRPr="00194CBB">
          <w:rPr>
            <w:webHidden/>
          </w:rPr>
          <w:fldChar w:fldCharType="separate"/>
        </w:r>
        <w:r w:rsidRPr="00194CBB">
          <w:rPr>
            <w:webHidden/>
          </w:rPr>
          <w:t>15</w:t>
        </w:r>
        <w:r w:rsidRPr="00194CBB">
          <w:rPr>
            <w:webHidden/>
          </w:rPr>
          <w:fldChar w:fldCharType="end"/>
        </w:r>
      </w:hyperlink>
      <w:r w:rsidR="00486CF5" w:rsidRPr="007636FF">
        <w:rPr>
          <w:rStyle w:val="Hyperlink"/>
          <w:b w:val="0"/>
          <w:color w:val="auto"/>
          <w:u w:val="none"/>
        </w:rPr>
        <w:fldChar w:fldCharType="end"/>
      </w:r>
    </w:p>
    <w:p w14:paraId="0504F86B" w14:textId="77777777" w:rsidR="00153C10" w:rsidRDefault="00153C10" w:rsidP="00A86FCC">
      <w:pPr>
        <w:pStyle w:val="Style1"/>
        <w:jc w:val="left"/>
        <w:sectPr w:rsidR="00153C10" w:rsidSect="007C18F5">
          <w:footerReference w:type="default" r:id="rId12"/>
          <w:type w:val="continuous"/>
          <w:pgSz w:w="11906" w:h="16838"/>
          <w:pgMar w:top="1440" w:right="1440" w:bottom="1440" w:left="1440" w:header="708" w:footer="708" w:gutter="0"/>
          <w:pgNumType w:start="1"/>
          <w:cols w:space="708"/>
          <w:docGrid w:linePitch="360"/>
        </w:sectPr>
      </w:pPr>
      <w:bookmarkStart w:id="2" w:name="_Toc61851450"/>
      <w:bookmarkStart w:id="3" w:name="_Toc62139439"/>
    </w:p>
    <w:p w14:paraId="74ADD0B7" w14:textId="5D90DC9B" w:rsidR="00BE39B7" w:rsidRDefault="005E5B9E" w:rsidP="00A86FCC">
      <w:pPr>
        <w:pStyle w:val="Style1"/>
        <w:rPr>
          <w:sz w:val="24"/>
          <w:szCs w:val="24"/>
        </w:rPr>
      </w:pPr>
      <w:bookmarkStart w:id="4" w:name="_Toc179280784"/>
      <w:r w:rsidRPr="2934EBA0">
        <w:rPr>
          <w:sz w:val="24"/>
          <w:szCs w:val="24"/>
        </w:rPr>
        <w:t xml:space="preserve">Section 1: </w:t>
      </w:r>
      <w:r w:rsidR="009C265D" w:rsidRPr="2934EBA0">
        <w:rPr>
          <w:sz w:val="24"/>
          <w:szCs w:val="24"/>
        </w:rPr>
        <w:t>Introduction</w:t>
      </w:r>
      <w:bookmarkEnd w:id="2"/>
      <w:bookmarkEnd w:id="3"/>
      <w:bookmarkEnd w:id="4"/>
      <w:r w:rsidR="0053170A" w:rsidRPr="2934EBA0">
        <w:rPr>
          <w:sz w:val="24"/>
          <w:szCs w:val="24"/>
        </w:rPr>
        <w:t xml:space="preserve"> </w:t>
      </w:r>
    </w:p>
    <w:p w14:paraId="396A5D38" w14:textId="716012D9" w:rsidR="00CB7D44" w:rsidRPr="00CC2D77" w:rsidRDefault="00BE39B7" w:rsidP="00D67398">
      <w:pPr>
        <w:pStyle w:val="Style2"/>
        <w:rPr>
          <w:sz w:val="24"/>
          <w:szCs w:val="24"/>
        </w:rPr>
      </w:pPr>
      <w:bookmarkStart w:id="5" w:name="_Toc179280785"/>
      <w:r w:rsidRPr="2934EBA0">
        <w:rPr>
          <w:sz w:val="24"/>
          <w:szCs w:val="24"/>
        </w:rPr>
        <w:t>Infrastructure Funding Statement requirements</w:t>
      </w:r>
      <w:bookmarkEnd w:id="5"/>
    </w:p>
    <w:p w14:paraId="72F67D79" w14:textId="77777777" w:rsidR="008C6C52" w:rsidRDefault="0028235A" w:rsidP="00D67398">
      <w:pPr>
        <w:pStyle w:val="ListParagraph"/>
        <w:numPr>
          <w:ilvl w:val="0"/>
          <w:numId w:val="42"/>
        </w:numPr>
        <w:spacing w:after="0"/>
        <w:ind w:hanging="720"/>
        <w:rPr>
          <w:rFonts w:eastAsia="Times New Roman"/>
          <w:color w:val="212529"/>
          <w:lang w:eastAsia="en-GB"/>
        </w:rPr>
      </w:pPr>
      <w:r w:rsidRPr="00F20A58">
        <w:rPr>
          <w:rFonts w:eastAsia="Times New Roman"/>
          <w:color w:val="212529"/>
          <w:lang w:eastAsia="en-GB"/>
        </w:rPr>
        <w:t xml:space="preserve">This is the Council’s </w:t>
      </w:r>
      <w:r w:rsidR="000B4D2D">
        <w:rPr>
          <w:rFonts w:eastAsia="Times New Roman"/>
          <w:color w:val="212529"/>
          <w:lang w:eastAsia="en-GB"/>
        </w:rPr>
        <w:t>fourt</w:t>
      </w:r>
      <w:r w:rsidR="00DD7DD3">
        <w:rPr>
          <w:rFonts w:eastAsia="Times New Roman"/>
          <w:color w:val="212529"/>
          <w:lang w:eastAsia="en-GB"/>
        </w:rPr>
        <w:t>h</w:t>
      </w:r>
      <w:r w:rsidRPr="00F20A58">
        <w:rPr>
          <w:rFonts w:eastAsia="Times New Roman"/>
          <w:color w:val="212529"/>
          <w:lang w:eastAsia="en-GB"/>
        </w:rPr>
        <w:t xml:space="preserve"> Infrastructure Funding Statement (IFS). It</w:t>
      </w:r>
      <w:r w:rsidR="00067710" w:rsidRPr="00F20A58">
        <w:rPr>
          <w:rFonts w:eastAsia="Times New Roman"/>
          <w:color w:val="212529"/>
          <w:lang w:eastAsia="en-GB"/>
        </w:rPr>
        <w:t xml:space="preserve"> has been published in response to the legal requirements arising from the </w:t>
      </w:r>
      <w:r w:rsidR="00D56470" w:rsidRPr="00F20A58">
        <w:rPr>
          <w:rFonts w:eastAsia="Times New Roman"/>
          <w:color w:val="212529"/>
          <w:lang w:eastAsia="en-GB"/>
        </w:rPr>
        <w:t>Community Infrastructure Levy Regulations 2019</w:t>
      </w:r>
      <w:r w:rsidR="00067710" w:rsidRPr="00F20A58">
        <w:rPr>
          <w:rFonts w:eastAsia="Times New Roman"/>
          <w:color w:val="212529"/>
          <w:lang w:eastAsia="en-GB"/>
        </w:rPr>
        <w:t xml:space="preserve">.  The Schedule 2 regulations require all local planning authorities to </w:t>
      </w:r>
      <w:r w:rsidR="00D56470" w:rsidRPr="00F20A58">
        <w:rPr>
          <w:rFonts w:eastAsia="Times New Roman"/>
          <w:color w:val="212529"/>
          <w:lang w:eastAsia="en-GB"/>
        </w:rPr>
        <w:t>publish an annual report</w:t>
      </w:r>
      <w:r w:rsidR="009E3D15" w:rsidRPr="00F20A58">
        <w:rPr>
          <w:rFonts w:eastAsia="Times New Roman"/>
          <w:color w:val="212529"/>
          <w:lang w:eastAsia="en-GB"/>
        </w:rPr>
        <w:t xml:space="preserve"> to cover infrastructure funded </w:t>
      </w:r>
      <w:r w:rsidR="00F07DC8" w:rsidRPr="00F20A58">
        <w:rPr>
          <w:rFonts w:eastAsia="Times New Roman"/>
          <w:color w:val="212529"/>
          <w:lang w:eastAsia="en-GB"/>
        </w:rPr>
        <w:t xml:space="preserve">by </w:t>
      </w:r>
      <w:r w:rsidR="009E3D15" w:rsidRPr="00F20A58">
        <w:rPr>
          <w:rFonts w:eastAsia="Times New Roman"/>
          <w:color w:val="212529"/>
          <w:lang w:eastAsia="en-GB"/>
        </w:rPr>
        <w:t xml:space="preserve">the </w:t>
      </w:r>
      <w:r w:rsidR="00CA7CEE" w:rsidRPr="00F20A58">
        <w:rPr>
          <w:rFonts w:eastAsia="Times New Roman"/>
          <w:color w:val="212529"/>
          <w:lang w:eastAsia="en-GB"/>
        </w:rPr>
        <w:t>Community Infrastructure Levy (</w:t>
      </w:r>
      <w:r w:rsidR="00D56470" w:rsidRPr="00F20A58">
        <w:rPr>
          <w:rFonts w:eastAsia="Times New Roman"/>
          <w:color w:val="212529"/>
          <w:lang w:eastAsia="en-GB"/>
        </w:rPr>
        <w:t>CIL</w:t>
      </w:r>
      <w:r w:rsidR="00CA7CEE" w:rsidRPr="00F20A58">
        <w:rPr>
          <w:rFonts w:eastAsia="Times New Roman"/>
          <w:color w:val="212529"/>
          <w:lang w:eastAsia="en-GB"/>
        </w:rPr>
        <w:t>)</w:t>
      </w:r>
      <w:r w:rsidR="008220A5" w:rsidRPr="00F20A58">
        <w:rPr>
          <w:rFonts w:eastAsia="Times New Roman"/>
          <w:color w:val="212529"/>
          <w:lang w:eastAsia="en-GB"/>
        </w:rPr>
        <w:t xml:space="preserve"> </w:t>
      </w:r>
      <w:r w:rsidR="00D56470" w:rsidRPr="00F20A58">
        <w:rPr>
          <w:rFonts w:eastAsia="Times New Roman"/>
          <w:color w:val="212529"/>
          <w:lang w:eastAsia="en-GB"/>
        </w:rPr>
        <w:t xml:space="preserve">and </w:t>
      </w:r>
      <w:r w:rsidR="00F07DC8" w:rsidRPr="00F20A58">
        <w:rPr>
          <w:rFonts w:eastAsia="Times New Roman"/>
          <w:color w:val="212529"/>
          <w:lang w:eastAsia="en-GB"/>
        </w:rPr>
        <w:t xml:space="preserve">that which is funded or provided for through </w:t>
      </w:r>
      <w:r w:rsidR="00E55F64" w:rsidRPr="00F20A58">
        <w:rPr>
          <w:rFonts w:eastAsia="Times New Roman"/>
          <w:color w:val="212529"/>
          <w:lang w:eastAsia="en-GB"/>
        </w:rPr>
        <w:t>planning obligations</w:t>
      </w:r>
      <w:r w:rsidR="009E3D15" w:rsidRPr="00F20A58">
        <w:rPr>
          <w:rFonts w:eastAsia="Times New Roman"/>
          <w:color w:val="212529"/>
          <w:lang w:eastAsia="en-GB"/>
        </w:rPr>
        <w:t xml:space="preserve">. </w:t>
      </w:r>
    </w:p>
    <w:p w14:paraId="6ECDFBC9" w14:textId="77777777" w:rsidR="000E40FC" w:rsidRDefault="000E40FC" w:rsidP="000E40FC">
      <w:pPr>
        <w:pStyle w:val="ListParagraph"/>
        <w:spacing w:after="0"/>
        <w:rPr>
          <w:rFonts w:eastAsia="Times New Roman"/>
          <w:color w:val="212529"/>
          <w:lang w:eastAsia="en-GB"/>
        </w:rPr>
      </w:pPr>
    </w:p>
    <w:p w14:paraId="45EEBCE9" w14:textId="6B701FA8" w:rsidR="00F81BFA" w:rsidRPr="000E40FC" w:rsidRDefault="000E40FC">
      <w:pPr>
        <w:pStyle w:val="ListParagraph"/>
        <w:numPr>
          <w:ilvl w:val="0"/>
          <w:numId w:val="42"/>
        </w:numPr>
        <w:spacing w:after="0"/>
        <w:ind w:hanging="720"/>
        <w:rPr>
          <w:rFonts w:eastAsia="Times New Roman"/>
          <w:color w:val="212529"/>
          <w:lang w:eastAsia="en-GB"/>
        </w:rPr>
      </w:pPr>
      <w:r w:rsidRPr="000E40FC">
        <w:rPr>
          <w:rFonts w:eastAsia="Times New Roman"/>
          <w:color w:val="212529"/>
          <w:lang w:eastAsia="en-GB"/>
        </w:rPr>
        <w:t>I</w:t>
      </w:r>
      <w:r w:rsidR="00CC2D77" w:rsidRPr="000E40FC">
        <w:rPr>
          <w:rFonts w:eastAsia="Times New Roman"/>
          <w:color w:val="212529"/>
          <w:lang w:eastAsia="en-GB"/>
        </w:rPr>
        <w:t xml:space="preserve">t </w:t>
      </w:r>
      <w:r>
        <w:rPr>
          <w:rFonts w:eastAsia="Times New Roman"/>
          <w:color w:val="212529"/>
          <w:lang w:eastAsia="en-GB"/>
        </w:rPr>
        <w:t xml:space="preserve">is </w:t>
      </w:r>
      <w:r w:rsidR="00CC2D77" w:rsidRPr="000E40FC">
        <w:rPr>
          <w:rFonts w:eastAsia="Times New Roman"/>
          <w:color w:val="212529"/>
          <w:lang w:eastAsia="en-GB"/>
        </w:rPr>
        <w:t>important from the outset to note that the Council only collects developer contributions vi</w:t>
      </w:r>
      <w:r w:rsidR="0042098A" w:rsidRPr="000E40FC">
        <w:rPr>
          <w:rFonts w:eastAsia="Times New Roman"/>
          <w:color w:val="212529"/>
          <w:lang w:eastAsia="en-GB"/>
        </w:rPr>
        <w:t>a</w:t>
      </w:r>
      <w:r w:rsidR="00CC2D77" w:rsidRPr="000E40FC">
        <w:rPr>
          <w:rFonts w:eastAsia="Times New Roman"/>
          <w:color w:val="212529"/>
          <w:lang w:eastAsia="en-GB"/>
        </w:rPr>
        <w:t xml:space="preserve"> </w:t>
      </w:r>
      <w:r w:rsidR="00E55F64" w:rsidRPr="000E40FC">
        <w:rPr>
          <w:rFonts w:eastAsia="Times New Roman"/>
          <w:color w:val="212529"/>
          <w:lang w:eastAsia="en-GB"/>
        </w:rPr>
        <w:t>planning obligations</w:t>
      </w:r>
      <w:r w:rsidR="0042098A" w:rsidRPr="000E40FC">
        <w:rPr>
          <w:rFonts w:eastAsia="Times New Roman"/>
          <w:color w:val="212529"/>
          <w:lang w:eastAsia="en-GB"/>
        </w:rPr>
        <w:t xml:space="preserve">. This IFS does not cover CIL income or spending as per the regulations. </w:t>
      </w:r>
    </w:p>
    <w:p w14:paraId="58023866" w14:textId="77777777" w:rsidR="004A07A8" w:rsidRPr="00BB094D" w:rsidRDefault="004A07A8" w:rsidP="000E40FC">
      <w:pPr>
        <w:pStyle w:val="ListParagraph"/>
        <w:spacing w:after="0"/>
        <w:ind w:left="0" w:hanging="720"/>
        <w:rPr>
          <w:rFonts w:eastAsia="Times New Roman"/>
          <w:color w:val="212529"/>
          <w:lang w:eastAsia="en-GB"/>
        </w:rPr>
      </w:pPr>
    </w:p>
    <w:p w14:paraId="239CB391" w14:textId="2A433C1B" w:rsidR="008619E7" w:rsidRPr="00F20A58" w:rsidRDefault="008619E7" w:rsidP="000E40FC">
      <w:pPr>
        <w:pStyle w:val="ListParagraph"/>
        <w:numPr>
          <w:ilvl w:val="0"/>
          <w:numId w:val="42"/>
        </w:numPr>
        <w:spacing w:after="0"/>
        <w:ind w:hanging="720"/>
        <w:rPr>
          <w:rFonts w:eastAsia="Times New Roman"/>
          <w:color w:val="212529"/>
          <w:lang w:eastAsia="en-GB"/>
        </w:rPr>
      </w:pPr>
      <w:r w:rsidRPr="612F67AE">
        <w:rPr>
          <w:rFonts w:eastAsia="Times New Roman"/>
          <w:color w:val="212529"/>
          <w:lang w:eastAsia="en-GB"/>
        </w:rPr>
        <w:t xml:space="preserve">This IFS provides information for the </w:t>
      </w:r>
      <w:r w:rsidR="00BC0446" w:rsidRPr="612F67AE">
        <w:rPr>
          <w:rFonts w:eastAsia="Times New Roman"/>
          <w:color w:val="212529"/>
          <w:lang w:eastAsia="en-GB"/>
        </w:rPr>
        <w:t>202</w:t>
      </w:r>
      <w:r w:rsidR="00BC0446">
        <w:rPr>
          <w:rFonts w:eastAsia="Times New Roman"/>
          <w:color w:val="212529"/>
          <w:lang w:eastAsia="en-GB"/>
        </w:rPr>
        <w:t>3</w:t>
      </w:r>
      <w:r w:rsidRPr="612F67AE">
        <w:rPr>
          <w:rFonts w:eastAsia="Times New Roman"/>
          <w:color w:val="212529"/>
          <w:lang w:eastAsia="en-GB"/>
        </w:rPr>
        <w:t>/</w:t>
      </w:r>
      <w:r w:rsidR="00BC0446" w:rsidRPr="612F67AE">
        <w:rPr>
          <w:rFonts w:eastAsia="Times New Roman"/>
          <w:color w:val="212529"/>
          <w:lang w:eastAsia="en-GB"/>
        </w:rPr>
        <w:t>2</w:t>
      </w:r>
      <w:r w:rsidR="00BC0446">
        <w:rPr>
          <w:rFonts w:eastAsia="Times New Roman"/>
          <w:color w:val="212529"/>
          <w:lang w:eastAsia="en-GB"/>
        </w:rPr>
        <w:t>4</w:t>
      </w:r>
      <w:r w:rsidR="00BC0446" w:rsidRPr="612F67AE">
        <w:rPr>
          <w:rFonts w:eastAsia="Times New Roman"/>
          <w:color w:val="212529"/>
          <w:lang w:eastAsia="en-GB"/>
        </w:rPr>
        <w:t xml:space="preserve"> </w:t>
      </w:r>
      <w:r w:rsidRPr="612F67AE">
        <w:rPr>
          <w:rFonts w:eastAsia="Times New Roman"/>
          <w:color w:val="212529"/>
          <w:lang w:eastAsia="en-GB"/>
        </w:rPr>
        <w:t xml:space="preserve">financial year (1st April </w:t>
      </w:r>
      <w:r w:rsidR="00BC0446" w:rsidRPr="612F67AE">
        <w:rPr>
          <w:rFonts w:eastAsia="Times New Roman"/>
          <w:color w:val="212529"/>
          <w:lang w:eastAsia="en-GB"/>
        </w:rPr>
        <w:t>202</w:t>
      </w:r>
      <w:r w:rsidR="00BC0446">
        <w:rPr>
          <w:rFonts w:eastAsia="Times New Roman"/>
          <w:color w:val="212529"/>
          <w:lang w:eastAsia="en-GB"/>
        </w:rPr>
        <w:t>3</w:t>
      </w:r>
      <w:r w:rsidR="00BC0446" w:rsidRPr="612F67AE">
        <w:rPr>
          <w:rFonts w:eastAsia="Times New Roman"/>
          <w:color w:val="212529"/>
          <w:lang w:eastAsia="en-GB"/>
        </w:rPr>
        <w:t xml:space="preserve"> </w:t>
      </w:r>
      <w:r w:rsidRPr="612F67AE">
        <w:rPr>
          <w:rFonts w:eastAsia="Times New Roman"/>
          <w:color w:val="212529"/>
          <w:lang w:eastAsia="en-GB"/>
        </w:rPr>
        <w:t xml:space="preserve">– 31st March </w:t>
      </w:r>
      <w:r w:rsidR="00BC0446" w:rsidRPr="612F67AE">
        <w:rPr>
          <w:rFonts w:eastAsia="Times New Roman"/>
          <w:color w:val="212529"/>
          <w:lang w:eastAsia="en-GB"/>
        </w:rPr>
        <w:t>202</w:t>
      </w:r>
      <w:r w:rsidR="00BC0446">
        <w:rPr>
          <w:rFonts w:eastAsia="Times New Roman"/>
          <w:color w:val="212529"/>
          <w:lang w:eastAsia="en-GB"/>
        </w:rPr>
        <w:t>4</w:t>
      </w:r>
      <w:r w:rsidRPr="612F67AE">
        <w:rPr>
          <w:rFonts w:eastAsia="Times New Roman"/>
          <w:color w:val="212529"/>
          <w:lang w:eastAsia="en-GB"/>
        </w:rPr>
        <w:t>). In doing so, this covers planning obligations which have been entered into</w:t>
      </w:r>
      <w:r w:rsidR="00B276E0" w:rsidRPr="612F67AE">
        <w:rPr>
          <w:rFonts w:eastAsia="Times New Roman"/>
          <w:color w:val="212529"/>
          <w:lang w:eastAsia="en-GB"/>
        </w:rPr>
        <w:t xml:space="preserve"> </w:t>
      </w:r>
      <w:r w:rsidRPr="612F67AE">
        <w:rPr>
          <w:rFonts w:eastAsia="Times New Roman"/>
          <w:color w:val="212529"/>
          <w:lang w:eastAsia="en-GB"/>
        </w:rPr>
        <w:t xml:space="preserve">in </w:t>
      </w:r>
      <w:r w:rsidR="00BC0446" w:rsidRPr="612F67AE">
        <w:rPr>
          <w:rFonts w:eastAsia="Times New Roman"/>
          <w:color w:val="212529"/>
          <w:lang w:eastAsia="en-GB"/>
        </w:rPr>
        <w:t>202</w:t>
      </w:r>
      <w:r w:rsidR="00BC0446">
        <w:rPr>
          <w:rFonts w:eastAsia="Times New Roman"/>
          <w:color w:val="212529"/>
          <w:lang w:eastAsia="en-GB"/>
        </w:rPr>
        <w:t>3</w:t>
      </w:r>
      <w:r w:rsidRPr="612F67AE">
        <w:rPr>
          <w:rFonts w:eastAsia="Times New Roman"/>
          <w:color w:val="212529"/>
          <w:lang w:eastAsia="en-GB"/>
        </w:rPr>
        <w:t>/</w:t>
      </w:r>
      <w:r w:rsidR="00BC0446" w:rsidRPr="612F67AE">
        <w:rPr>
          <w:rFonts w:eastAsia="Times New Roman"/>
          <w:color w:val="212529"/>
          <w:lang w:eastAsia="en-GB"/>
        </w:rPr>
        <w:t>2</w:t>
      </w:r>
      <w:r w:rsidR="00BC0446">
        <w:rPr>
          <w:rFonts w:eastAsia="Times New Roman"/>
          <w:color w:val="212529"/>
          <w:lang w:eastAsia="en-GB"/>
        </w:rPr>
        <w:t>4</w:t>
      </w:r>
      <w:r w:rsidRPr="612F67AE">
        <w:rPr>
          <w:rFonts w:eastAsia="Times New Roman"/>
          <w:color w:val="212529"/>
          <w:lang w:eastAsia="en-GB"/>
        </w:rPr>
        <w:t xml:space="preserve">. These are agreements that were agreed and signed between developers and Eastleigh Borough Council in </w:t>
      </w:r>
      <w:r w:rsidR="00BC0446" w:rsidRPr="612F67AE">
        <w:rPr>
          <w:rFonts w:eastAsia="Times New Roman"/>
          <w:color w:val="212529"/>
          <w:lang w:eastAsia="en-GB"/>
        </w:rPr>
        <w:t>202</w:t>
      </w:r>
      <w:r w:rsidR="00BC0446">
        <w:rPr>
          <w:rFonts w:eastAsia="Times New Roman"/>
          <w:color w:val="212529"/>
          <w:lang w:eastAsia="en-GB"/>
        </w:rPr>
        <w:t>3</w:t>
      </w:r>
      <w:r w:rsidRPr="612F67AE">
        <w:rPr>
          <w:rFonts w:eastAsia="Times New Roman"/>
          <w:color w:val="212529"/>
          <w:lang w:eastAsia="en-GB"/>
        </w:rPr>
        <w:t>/</w:t>
      </w:r>
      <w:r w:rsidR="00BC0446" w:rsidRPr="612F67AE">
        <w:rPr>
          <w:rFonts w:eastAsia="Times New Roman"/>
          <w:color w:val="212529"/>
          <w:lang w:eastAsia="en-GB"/>
        </w:rPr>
        <w:t>2</w:t>
      </w:r>
      <w:r w:rsidR="00BC0446">
        <w:rPr>
          <w:rFonts w:eastAsia="Times New Roman"/>
          <w:color w:val="212529"/>
          <w:lang w:eastAsia="en-GB"/>
        </w:rPr>
        <w:t>4</w:t>
      </w:r>
      <w:r w:rsidRPr="612F67AE">
        <w:rPr>
          <w:rFonts w:eastAsia="Times New Roman"/>
          <w:color w:val="212529"/>
          <w:lang w:eastAsia="en-GB"/>
        </w:rPr>
        <w:t xml:space="preserve">. </w:t>
      </w:r>
      <w:r w:rsidR="00B276E0" w:rsidRPr="612F67AE">
        <w:rPr>
          <w:rFonts w:eastAsia="Times New Roman"/>
          <w:color w:val="212529"/>
          <w:lang w:eastAsia="en-GB"/>
        </w:rPr>
        <w:t>This IFS</w:t>
      </w:r>
      <w:r w:rsidRPr="612F67AE">
        <w:rPr>
          <w:rFonts w:eastAsia="Times New Roman"/>
          <w:color w:val="212529"/>
          <w:lang w:eastAsia="en-GB"/>
        </w:rPr>
        <w:t xml:space="preserve"> also provides information on monies received</w:t>
      </w:r>
      <w:r w:rsidR="00B07731" w:rsidRPr="612F67AE">
        <w:rPr>
          <w:rFonts w:eastAsia="Times New Roman"/>
          <w:color w:val="212529"/>
          <w:lang w:eastAsia="en-GB"/>
        </w:rPr>
        <w:t xml:space="preserve"> (including through upfront payments in lieu of a Section 106 agreement)</w:t>
      </w:r>
      <w:r w:rsidRPr="612F67AE">
        <w:rPr>
          <w:rFonts w:eastAsia="Times New Roman"/>
          <w:color w:val="212529"/>
          <w:lang w:eastAsia="en-GB"/>
        </w:rPr>
        <w:t xml:space="preserve">, allocated and spent on infrastructure provision and information on infrastructure </w:t>
      </w:r>
      <w:r w:rsidR="00254640" w:rsidRPr="612F67AE">
        <w:rPr>
          <w:rFonts w:eastAsia="Times New Roman"/>
          <w:color w:val="212529"/>
          <w:lang w:eastAsia="en-GB"/>
        </w:rPr>
        <w:t xml:space="preserve">and affordable housing </w:t>
      </w:r>
      <w:r w:rsidRPr="612F67AE">
        <w:rPr>
          <w:rFonts w:eastAsia="Times New Roman"/>
          <w:color w:val="212529"/>
          <w:lang w:eastAsia="en-GB"/>
        </w:rPr>
        <w:t>provided for directly by developers in 20</w:t>
      </w:r>
      <w:r w:rsidR="0042098A" w:rsidRPr="612F67AE">
        <w:rPr>
          <w:rFonts w:eastAsia="Times New Roman"/>
          <w:color w:val="212529"/>
          <w:lang w:eastAsia="en-GB"/>
        </w:rPr>
        <w:t>2</w:t>
      </w:r>
      <w:r w:rsidR="00814FA6">
        <w:rPr>
          <w:rFonts w:eastAsia="Times New Roman"/>
          <w:color w:val="212529"/>
          <w:lang w:eastAsia="en-GB"/>
        </w:rPr>
        <w:t>3</w:t>
      </w:r>
      <w:r w:rsidRPr="612F67AE">
        <w:rPr>
          <w:rFonts w:eastAsia="Times New Roman"/>
          <w:color w:val="212529"/>
          <w:lang w:eastAsia="en-GB"/>
        </w:rPr>
        <w:t>/2</w:t>
      </w:r>
      <w:r w:rsidR="00814FA6">
        <w:rPr>
          <w:rFonts w:eastAsia="Times New Roman"/>
          <w:color w:val="212529"/>
          <w:lang w:eastAsia="en-GB"/>
        </w:rPr>
        <w:t>4</w:t>
      </w:r>
      <w:r w:rsidR="00AF4D38" w:rsidRPr="612F67AE">
        <w:rPr>
          <w:rFonts w:eastAsia="Times New Roman"/>
          <w:color w:val="212529"/>
          <w:lang w:eastAsia="en-GB"/>
        </w:rPr>
        <w:t xml:space="preserve"> </w:t>
      </w:r>
      <w:r w:rsidRPr="612F67AE">
        <w:rPr>
          <w:rFonts w:eastAsia="Times New Roman"/>
          <w:color w:val="212529"/>
          <w:lang w:eastAsia="en-GB"/>
        </w:rPr>
        <w:t>as a result of planning obligations being entered into</w:t>
      </w:r>
      <w:r w:rsidR="00B276E0" w:rsidRPr="612F67AE">
        <w:rPr>
          <w:rFonts w:eastAsia="Times New Roman"/>
          <w:color w:val="212529"/>
          <w:lang w:eastAsia="en-GB"/>
        </w:rPr>
        <w:t xml:space="preserve"> </w:t>
      </w:r>
      <w:r w:rsidRPr="612F67AE">
        <w:rPr>
          <w:rFonts w:eastAsia="Times New Roman"/>
          <w:color w:val="212529"/>
          <w:lang w:eastAsia="en-GB"/>
        </w:rPr>
        <w:t>in 20</w:t>
      </w:r>
      <w:r w:rsidR="0042098A" w:rsidRPr="612F67AE">
        <w:rPr>
          <w:rFonts w:eastAsia="Times New Roman"/>
          <w:color w:val="212529"/>
          <w:lang w:eastAsia="en-GB"/>
        </w:rPr>
        <w:t>2</w:t>
      </w:r>
      <w:r w:rsidR="00814FA6">
        <w:rPr>
          <w:rFonts w:eastAsia="Times New Roman"/>
          <w:color w:val="212529"/>
          <w:lang w:eastAsia="en-GB"/>
        </w:rPr>
        <w:t>3</w:t>
      </w:r>
      <w:r w:rsidRPr="612F67AE">
        <w:rPr>
          <w:rFonts w:eastAsia="Times New Roman"/>
          <w:color w:val="212529"/>
          <w:lang w:eastAsia="en-GB"/>
        </w:rPr>
        <w:t>/2</w:t>
      </w:r>
      <w:r w:rsidR="00814FA6">
        <w:rPr>
          <w:rFonts w:eastAsia="Times New Roman"/>
          <w:color w:val="212529"/>
          <w:lang w:eastAsia="en-GB"/>
        </w:rPr>
        <w:t>4</w:t>
      </w:r>
      <w:r w:rsidRPr="612F67AE">
        <w:rPr>
          <w:rFonts w:eastAsia="Times New Roman"/>
          <w:color w:val="212529"/>
          <w:lang w:eastAsia="en-GB"/>
        </w:rPr>
        <w:t xml:space="preserve"> or over previous years. </w:t>
      </w:r>
    </w:p>
    <w:p w14:paraId="665C1B06" w14:textId="77777777" w:rsidR="00C67131" w:rsidRPr="00F20A58" w:rsidRDefault="00C67131" w:rsidP="008E5C42">
      <w:pPr>
        <w:spacing w:after="0"/>
        <w:rPr>
          <w:rFonts w:eastAsia="Times New Roman"/>
          <w:color w:val="212529"/>
          <w:lang w:eastAsia="en-GB"/>
        </w:rPr>
      </w:pPr>
    </w:p>
    <w:p w14:paraId="678EB6D0" w14:textId="193733F5" w:rsidR="008430C8" w:rsidRPr="00E1161D" w:rsidRDefault="00D41FEB" w:rsidP="00270AD2">
      <w:pPr>
        <w:pStyle w:val="Style1"/>
        <w:jc w:val="left"/>
        <w:rPr>
          <w:sz w:val="24"/>
          <w:szCs w:val="24"/>
        </w:rPr>
      </w:pPr>
      <w:bookmarkStart w:id="6" w:name="_Toc61851454"/>
      <w:bookmarkStart w:id="7" w:name="_Toc62139443"/>
      <w:bookmarkStart w:id="8" w:name="_Hlk145944548"/>
      <w:bookmarkStart w:id="9" w:name="_Toc179280786"/>
      <w:r w:rsidRPr="2934EBA0">
        <w:rPr>
          <w:sz w:val="24"/>
          <w:szCs w:val="24"/>
        </w:rPr>
        <w:t>Section 2: P</w:t>
      </w:r>
      <w:r w:rsidR="004D3BAF" w:rsidRPr="2934EBA0">
        <w:rPr>
          <w:sz w:val="24"/>
          <w:szCs w:val="24"/>
        </w:rPr>
        <w:t xml:space="preserve">lanning Obligations and </w:t>
      </w:r>
      <w:r w:rsidR="00CB7D44" w:rsidRPr="2934EBA0">
        <w:rPr>
          <w:sz w:val="24"/>
          <w:szCs w:val="24"/>
        </w:rPr>
        <w:t>i</w:t>
      </w:r>
      <w:r w:rsidR="004D3BAF" w:rsidRPr="2934EBA0">
        <w:rPr>
          <w:sz w:val="24"/>
          <w:szCs w:val="24"/>
        </w:rPr>
        <w:t xml:space="preserve">nfrastructure </w:t>
      </w:r>
      <w:bookmarkEnd w:id="6"/>
      <w:bookmarkEnd w:id="7"/>
      <w:bookmarkEnd w:id="8"/>
      <w:r w:rsidR="00CB7D44" w:rsidRPr="2934EBA0">
        <w:rPr>
          <w:sz w:val="24"/>
          <w:szCs w:val="24"/>
        </w:rPr>
        <w:t>provision</w:t>
      </w:r>
      <w:bookmarkEnd w:id="9"/>
    </w:p>
    <w:p w14:paraId="02B91CA8" w14:textId="77777777" w:rsidR="006A120B" w:rsidRPr="00E1161D" w:rsidRDefault="006A120B" w:rsidP="006A120B">
      <w:pPr>
        <w:spacing w:after="0"/>
        <w:jc w:val="both"/>
        <w:rPr>
          <w:rFonts w:eastAsia="Times New Roman"/>
          <w:color w:val="212529"/>
          <w:lang w:eastAsia="en-GB"/>
        </w:rPr>
      </w:pPr>
    </w:p>
    <w:p w14:paraId="5918B931" w14:textId="5AD5E378" w:rsidR="001351AF" w:rsidRPr="00270AD2" w:rsidRDefault="00E1161D" w:rsidP="00270AD2">
      <w:pPr>
        <w:pStyle w:val="ListParagraph"/>
        <w:numPr>
          <w:ilvl w:val="0"/>
          <w:numId w:val="46"/>
        </w:numPr>
        <w:spacing w:after="0"/>
        <w:ind w:hanging="720"/>
        <w:rPr>
          <w:rFonts w:eastAsia="Times New Roman"/>
          <w:color w:val="212529"/>
          <w:lang w:eastAsia="en-GB"/>
        </w:rPr>
      </w:pPr>
      <w:r w:rsidRPr="00270AD2">
        <w:rPr>
          <w:rFonts w:eastAsia="Times New Roman"/>
          <w:color w:val="212529"/>
          <w:lang w:eastAsia="en-GB"/>
        </w:rPr>
        <w:t>The Council is planning for and delivering major growth in the borough</w:t>
      </w:r>
      <w:r w:rsidR="00C551FE" w:rsidRPr="00270AD2">
        <w:rPr>
          <w:rFonts w:eastAsia="Times New Roman"/>
          <w:color w:val="212529"/>
          <w:lang w:eastAsia="en-GB"/>
        </w:rPr>
        <w:t xml:space="preserve"> in the emerging Local Plan review</w:t>
      </w:r>
      <w:r w:rsidRPr="00270AD2">
        <w:rPr>
          <w:rFonts w:eastAsia="Times New Roman"/>
          <w:color w:val="212529"/>
          <w:lang w:eastAsia="en-GB"/>
        </w:rPr>
        <w:t xml:space="preserve">. It takes a proactive approach to bringing forward development </w:t>
      </w:r>
      <w:r w:rsidR="00E56064" w:rsidRPr="00270AD2">
        <w:rPr>
          <w:rFonts w:eastAsia="Times New Roman"/>
          <w:color w:val="212529"/>
          <w:lang w:eastAsia="en-GB"/>
        </w:rPr>
        <w:t xml:space="preserve">through an ‘infrastructure first’ approach </w:t>
      </w:r>
      <w:r w:rsidRPr="00270AD2">
        <w:rPr>
          <w:rFonts w:eastAsia="Times New Roman"/>
          <w:color w:val="212529"/>
          <w:lang w:eastAsia="en-GB"/>
        </w:rPr>
        <w:t>to ensure that new homes are delivered in the most sustainable locations alongside the provision of the infrastructure that’s needed in order to create excellent place</w:t>
      </w:r>
      <w:r w:rsidR="006717FE" w:rsidRPr="00270AD2">
        <w:rPr>
          <w:rFonts w:eastAsia="Times New Roman"/>
          <w:color w:val="212529"/>
          <w:lang w:eastAsia="en-GB"/>
        </w:rPr>
        <w:t>s</w:t>
      </w:r>
      <w:r w:rsidRPr="00270AD2">
        <w:rPr>
          <w:rFonts w:eastAsia="Times New Roman"/>
          <w:color w:val="212529"/>
          <w:lang w:eastAsia="en-GB"/>
        </w:rPr>
        <w:t xml:space="preserve"> to live, work and visit. </w:t>
      </w:r>
    </w:p>
    <w:p w14:paraId="685C5A91" w14:textId="3EB7336A" w:rsidR="00E1161D" w:rsidRDefault="00E1161D" w:rsidP="00270AD2">
      <w:pPr>
        <w:pStyle w:val="ListParagraph"/>
        <w:spacing w:after="0"/>
        <w:ind w:hanging="720"/>
        <w:rPr>
          <w:rFonts w:eastAsia="Times New Roman"/>
          <w:color w:val="212529"/>
          <w:lang w:eastAsia="en-GB"/>
        </w:rPr>
      </w:pPr>
    </w:p>
    <w:p w14:paraId="469DEA7C" w14:textId="5761A1F9" w:rsidR="006A120B" w:rsidRPr="005C3917" w:rsidRDefault="008220A5" w:rsidP="005C3917">
      <w:pPr>
        <w:pStyle w:val="ListParagraph"/>
        <w:numPr>
          <w:ilvl w:val="0"/>
          <w:numId w:val="46"/>
        </w:numPr>
        <w:spacing w:after="0"/>
        <w:ind w:hanging="720"/>
        <w:rPr>
          <w:rFonts w:eastAsia="Times New Roman"/>
          <w:color w:val="212529"/>
          <w:lang w:eastAsia="en-GB"/>
        </w:rPr>
      </w:pPr>
      <w:r w:rsidRPr="005C3917">
        <w:rPr>
          <w:rFonts w:eastAsia="Times New Roman"/>
          <w:color w:val="212529"/>
          <w:lang w:eastAsia="en-GB"/>
        </w:rPr>
        <w:t xml:space="preserve">Under Section 106 (S106) of the Town and Country Planning Act 1990 a </w:t>
      </w:r>
      <w:r w:rsidR="006A120B" w:rsidRPr="005C3917">
        <w:rPr>
          <w:rFonts w:eastAsia="Times New Roman"/>
          <w:color w:val="212529"/>
          <w:lang w:eastAsia="en-GB"/>
        </w:rPr>
        <w:t>l</w:t>
      </w:r>
      <w:r w:rsidRPr="005C3917">
        <w:rPr>
          <w:rFonts w:eastAsia="Times New Roman"/>
          <w:color w:val="212529"/>
          <w:lang w:eastAsia="en-GB"/>
        </w:rPr>
        <w:t xml:space="preserve">ocal </w:t>
      </w:r>
      <w:r w:rsidR="006A120B" w:rsidRPr="005C3917">
        <w:rPr>
          <w:rFonts w:eastAsia="Times New Roman"/>
          <w:color w:val="212529"/>
          <w:lang w:eastAsia="en-GB"/>
        </w:rPr>
        <w:t>p</w:t>
      </w:r>
      <w:r w:rsidRPr="005C3917">
        <w:rPr>
          <w:rFonts w:eastAsia="Times New Roman"/>
          <w:color w:val="212529"/>
          <w:lang w:eastAsia="en-GB"/>
        </w:rPr>
        <w:t xml:space="preserve">lanning </w:t>
      </w:r>
      <w:r w:rsidR="006A120B" w:rsidRPr="005C3917">
        <w:rPr>
          <w:rFonts w:eastAsia="Times New Roman"/>
          <w:color w:val="212529"/>
          <w:lang w:eastAsia="en-GB"/>
        </w:rPr>
        <w:t>a</w:t>
      </w:r>
      <w:r w:rsidRPr="005C3917">
        <w:rPr>
          <w:rFonts w:eastAsia="Times New Roman"/>
          <w:color w:val="212529"/>
          <w:lang w:eastAsia="en-GB"/>
        </w:rPr>
        <w:t xml:space="preserve">uthority (LPA) can seek </w:t>
      </w:r>
      <w:r w:rsidR="00B94B5C" w:rsidRPr="005C3917">
        <w:rPr>
          <w:rFonts w:eastAsia="Times New Roman"/>
          <w:color w:val="212529"/>
          <w:lang w:eastAsia="en-GB"/>
        </w:rPr>
        <w:t>financial</w:t>
      </w:r>
      <w:r w:rsidR="00E50262" w:rsidRPr="005C3917">
        <w:rPr>
          <w:rFonts w:eastAsia="Times New Roman"/>
          <w:color w:val="212529"/>
          <w:lang w:eastAsia="en-GB"/>
        </w:rPr>
        <w:t xml:space="preserve"> </w:t>
      </w:r>
      <w:r w:rsidRPr="005C3917">
        <w:rPr>
          <w:rFonts w:eastAsia="Times New Roman"/>
          <w:color w:val="212529"/>
          <w:lang w:eastAsia="en-GB"/>
        </w:rPr>
        <w:t>obligations</w:t>
      </w:r>
      <w:r w:rsidR="00B94B5C" w:rsidRPr="005C3917">
        <w:rPr>
          <w:rFonts w:eastAsia="Times New Roman"/>
          <w:color w:val="212529"/>
          <w:lang w:eastAsia="en-GB"/>
        </w:rPr>
        <w:t xml:space="preserve"> for both on-site and off-site infrastructure connected to new development. </w:t>
      </w:r>
      <w:r w:rsidR="001A00AD" w:rsidRPr="005C3917">
        <w:rPr>
          <w:rFonts w:eastAsia="Times New Roman"/>
          <w:color w:val="212529"/>
          <w:lang w:eastAsia="en-GB"/>
        </w:rPr>
        <w:t xml:space="preserve">They can help to mitigate the impacts </w:t>
      </w:r>
      <w:r w:rsidR="00B94B5C" w:rsidRPr="005C3917">
        <w:rPr>
          <w:rFonts w:eastAsia="Times New Roman"/>
          <w:color w:val="212529"/>
          <w:lang w:eastAsia="en-GB"/>
        </w:rPr>
        <w:t>of new development proposed</w:t>
      </w:r>
      <w:r w:rsidR="007845C3" w:rsidRPr="005C3917">
        <w:rPr>
          <w:rFonts w:eastAsia="Times New Roman"/>
          <w:color w:val="212529"/>
          <w:lang w:eastAsia="en-GB"/>
        </w:rPr>
        <w:t>,</w:t>
      </w:r>
      <w:r w:rsidR="00B94B5C" w:rsidRPr="005C3917">
        <w:rPr>
          <w:rFonts w:eastAsia="Times New Roman"/>
          <w:color w:val="212529"/>
          <w:lang w:eastAsia="en-GB"/>
        </w:rPr>
        <w:t xml:space="preserve"> </w:t>
      </w:r>
      <w:r w:rsidR="001A00AD" w:rsidRPr="005C3917">
        <w:rPr>
          <w:rFonts w:eastAsia="Times New Roman"/>
          <w:color w:val="212529"/>
          <w:lang w:eastAsia="en-GB"/>
        </w:rPr>
        <w:t>to make it acceptable in planning terms.</w:t>
      </w:r>
      <w:r w:rsidR="006A120B" w:rsidRPr="005C3917">
        <w:rPr>
          <w:rFonts w:eastAsia="Times New Roman"/>
          <w:color w:val="212529"/>
          <w:lang w:eastAsia="en-GB"/>
        </w:rPr>
        <w:t xml:space="preserve"> The obligations may </w:t>
      </w:r>
      <w:r w:rsidR="00E50262" w:rsidRPr="005C3917">
        <w:rPr>
          <w:rFonts w:eastAsia="Times New Roman"/>
          <w:color w:val="212529"/>
          <w:lang w:eastAsia="en-GB"/>
        </w:rPr>
        <w:t xml:space="preserve">also </w:t>
      </w:r>
      <w:r w:rsidR="006A120B" w:rsidRPr="005C3917">
        <w:rPr>
          <w:rFonts w:eastAsia="Times New Roman"/>
          <w:color w:val="212529"/>
          <w:lang w:eastAsia="en-GB"/>
        </w:rPr>
        <w:t xml:space="preserve">be provided by the developer “in kind”. This is where the developer builds or provides directly the </w:t>
      </w:r>
      <w:r w:rsidR="007845C3" w:rsidRPr="005C3917">
        <w:rPr>
          <w:rFonts w:eastAsia="Times New Roman"/>
          <w:color w:val="212529"/>
          <w:lang w:eastAsia="en-GB"/>
        </w:rPr>
        <w:t xml:space="preserve">infrastructure </w:t>
      </w:r>
      <w:r w:rsidR="006A120B" w:rsidRPr="005C3917">
        <w:rPr>
          <w:rFonts w:eastAsia="Times New Roman"/>
          <w:color w:val="212529"/>
          <w:lang w:eastAsia="en-GB"/>
        </w:rPr>
        <w:t>necessary to fulfil the obligation.</w:t>
      </w:r>
      <w:r w:rsidR="001F73A1" w:rsidRPr="005C3917">
        <w:rPr>
          <w:rFonts w:eastAsia="Times New Roman"/>
          <w:color w:val="212529"/>
          <w:lang w:eastAsia="en-GB"/>
        </w:rPr>
        <w:t xml:space="preserve"> </w:t>
      </w:r>
      <w:r w:rsidR="001E4ACD" w:rsidRPr="005C3917">
        <w:rPr>
          <w:rFonts w:eastAsia="Times New Roman"/>
          <w:color w:val="212529"/>
          <w:lang w:eastAsia="en-GB"/>
        </w:rPr>
        <w:t xml:space="preserve">Examples include the </w:t>
      </w:r>
      <w:r w:rsidR="009E11C8" w:rsidRPr="005C3917">
        <w:rPr>
          <w:rFonts w:eastAsia="Times New Roman"/>
          <w:color w:val="212529"/>
          <w:lang w:eastAsia="en-GB"/>
        </w:rPr>
        <w:t>delivery</w:t>
      </w:r>
      <w:r w:rsidR="001E4ACD" w:rsidRPr="005C3917">
        <w:rPr>
          <w:rFonts w:eastAsia="Times New Roman"/>
          <w:color w:val="212529"/>
          <w:lang w:eastAsia="en-GB"/>
        </w:rPr>
        <w:t xml:space="preserve"> of on-site affordable housing and on-site open space provision</w:t>
      </w:r>
      <w:r w:rsidR="00777E3A" w:rsidRPr="005C3917">
        <w:rPr>
          <w:rFonts w:eastAsia="Times New Roman"/>
          <w:color w:val="212529"/>
          <w:lang w:eastAsia="en-GB"/>
        </w:rPr>
        <w:t xml:space="preserve"> along with its maintenance in perpetuity</w:t>
      </w:r>
      <w:r w:rsidR="001E4ACD" w:rsidRPr="005C3917">
        <w:rPr>
          <w:rFonts w:eastAsia="Times New Roman"/>
          <w:color w:val="212529"/>
          <w:lang w:eastAsia="en-GB"/>
        </w:rPr>
        <w:t xml:space="preserve">. </w:t>
      </w:r>
    </w:p>
    <w:p w14:paraId="63E7A7AB" w14:textId="49182D5A" w:rsidR="006A120B" w:rsidRPr="00777E3A" w:rsidRDefault="006A120B" w:rsidP="005C3917">
      <w:pPr>
        <w:spacing w:after="0"/>
        <w:ind w:hanging="720"/>
        <w:rPr>
          <w:rFonts w:eastAsia="Times New Roman"/>
          <w:color w:val="212529"/>
          <w:lang w:eastAsia="en-GB"/>
        </w:rPr>
      </w:pPr>
    </w:p>
    <w:p w14:paraId="1407AEDD" w14:textId="3340D641" w:rsidR="006A120B" w:rsidRPr="005C3917" w:rsidRDefault="006568CE" w:rsidP="005C3917">
      <w:pPr>
        <w:pStyle w:val="ListParagraph"/>
        <w:numPr>
          <w:ilvl w:val="0"/>
          <w:numId w:val="46"/>
        </w:numPr>
        <w:spacing w:after="0"/>
        <w:ind w:hanging="720"/>
        <w:rPr>
          <w:rFonts w:eastAsia="Times New Roman"/>
          <w:color w:val="212529"/>
          <w:lang w:eastAsia="en-GB"/>
        </w:rPr>
      </w:pPr>
      <w:r w:rsidRPr="005C3917">
        <w:rPr>
          <w:rFonts w:eastAsia="Times New Roman"/>
          <w:color w:val="212529"/>
          <w:lang w:eastAsia="en-GB"/>
        </w:rPr>
        <w:t>P</w:t>
      </w:r>
      <w:r w:rsidR="006A120B" w:rsidRPr="005C3917">
        <w:rPr>
          <w:rFonts w:eastAsia="Times New Roman"/>
          <w:color w:val="212529"/>
          <w:lang w:eastAsia="en-GB"/>
        </w:rPr>
        <w:t>lanning obligation</w:t>
      </w:r>
      <w:r w:rsidRPr="005C3917">
        <w:rPr>
          <w:rFonts w:eastAsia="Times New Roman"/>
          <w:color w:val="212529"/>
          <w:lang w:eastAsia="en-GB"/>
        </w:rPr>
        <w:t>s</w:t>
      </w:r>
      <w:r w:rsidR="006A120B" w:rsidRPr="005C3917">
        <w:rPr>
          <w:rFonts w:eastAsia="Times New Roman"/>
          <w:color w:val="212529"/>
          <w:lang w:eastAsia="en-GB"/>
        </w:rPr>
        <w:t xml:space="preserve"> may only constitute a reason for granting planning permission </w:t>
      </w:r>
      <w:r w:rsidRPr="005C3917">
        <w:rPr>
          <w:rFonts w:eastAsia="Times New Roman"/>
          <w:color w:val="212529"/>
          <w:lang w:eastAsia="en-GB"/>
        </w:rPr>
        <w:t>if th</w:t>
      </w:r>
      <w:r w:rsidR="007845C3" w:rsidRPr="005C3917">
        <w:rPr>
          <w:rFonts w:eastAsia="Times New Roman"/>
          <w:color w:val="212529"/>
          <w:lang w:eastAsia="en-GB"/>
        </w:rPr>
        <w:t>e</w:t>
      </w:r>
      <w:r w:rsidRPr="005C3917">
        <w:rPr>
          <w:rFonts w:eastAsia="Times New Roman"/>
          <w:color w:val="212529"/>
          <w:lang w:eastAsia="en-GB"/>
        </w:rPr>
        <w:t xml:space="preserve">y meet the tests that are necessary to make the </w:t>
      </w:r>
      <w:r w:rsidR="006A120B" w:rsidRPr="005C3917">
        <w:rPr>
          <w:rFonts w:eastAsia="Times New Roman"/>
          <w:color w:val="212529"/>
          <w:lang w:eastAsia="en-GB"/>
        </w:rPr>
        <w:t xml:space="preserve">development </w:t>
      </w:r>
      <w:r w:rsidRPr="005C3917">
        <w:rPr>
          <w:rFonts w:eastAsia="Times New Roman"/>
          <w:color w:val="212529"/>
          <w:lang w:eastAsia="en-GB"/>
        </w:rPr>
        <w:t>acceptable in planning terms</w:t>
      </w:r>
      <w:r w:rsidR="00370A73" w:rsidRPr="005C3917">
        <w:rPr>
          <w:rFonts w:eastAsia="Times New Roman"/>
          <w:color w:val="212529"/>
          <w:lang w:eastAsia="en-GB"/>
        </w:rPr>
        <w:t xml:space="preserve">. They </w:t>
      </w:r>
      <w:r w:rsidRPr="005C3917">
        <w:rPr>
          <w:rFonts w:eastAsia="Times New Roman"/>
          <w:color w:val="212529"/>
          <w:lang w:eastAsia="en-GB"/>
        </w:rPr>
        <w:t>must be</w:t>
      </w:r>
      <w:r w:rsidR="006A120B" w:rsidRPr="005C3917">
        <w:rPr>
          <w:rFonts w:eastAsia="Times New Roman"/>
          <w:color w:val="212529"/>
          <w:lang w:eastAsia="en-GB"/>
        </w:rPr>
        <w:t>:</w:t>
      </w:r>
    </w:p>
    <w:p w14:paraId="3F90B48E" w14:textId="77777777" w:rsidR="006A120B" w:rsidRPr="00777E3A" w:rsidRDefault="006A120B" w:rsidP="008E5C42">
      <w:pPr>
        <w:spacing w:after="0"/>
        <w:rPr>
          <w:rFonts w:eastAsia="Times New Roman"/>
          <w:color w:val="212529"/>
          <w:lang w:eastAsia="en-GB"/>
        </w:rPr>
      </w:pPr>
    </w:p>
    <w:p w14:paraId="48185567" w14:textId="7A1A78AD" w:rsidR="006A120B" w:rsidRPr="00777E3A" w:rsidRDefault="006A120B" w:rsidP="005C3917">
      <w:pPr>
        <w:pStyle w:val="ListParagraph"/>
        <w:numPr>
          <w:ilvl w:val="0"/>
          <w:numId w:val="1"/>
        </w:numPr>
        <w:spacing w:after="0"/>
        <w:rPr>
          <w:rFonts w:eastAsia="Times New Roman"/>
          <w:color w:val="212529"/>
          <w:lang w:eastAsia="en-GB"/>
        </w:rPr>
      </w:pPr>
      <w:r w:rsidRPr="00777E3A">
        <w:rPr>
          <w:rFonts w:eastAsia="Times New Roman"/>
          <w:color w:val="212529"/>
          <w:lang w:eastAsia="en-GB"/>
        </w:rPr>
        <w:t>Necessary to make the development acceptable in planning terms;</w:t>
      </w:r>
    </w:p>
    <w:p w14:paraId="182AFCE9" w14:textId="65571F49" w:rsidR="006A120B" w:rsidRPr="00777E3A" w:rsidRDefault="006A120B" w:rsidP="005C3917">
      <w:pPr>
        <w:pStyle w:val="ListParagraph"/>
        <w:numPr>
          <w:ilvl w:val="0"/>
          <w:numId w:val="1"/>
        </w:numPr>
        <w:spacing w:after="0"/>
        <w:rPr>
          <w:rFonts w:eastAsia="Times New Roman"/>
          <w:color w:val="212529"/>
          <w:lang w:eastAsia="en-GB"/>
        </w:rPr>
      </w:pPr>
      <w:r w:rsidRPr="00777E3A">
        <w:rPr>
          <w:rFonts w:eastAsia="Times New Roman"/>
          <w:color w:val="212529"/>
          <w:lang w:eastAsia="en-GB"/>
        </w:rPr>
        <w:t>Directly related to the development; and</w:t>
      </w:r>
    </w:p>
    <w:p w14:paraId="0C06CF4A" w14:textId="29179997" w:rsidR="006A120B" w:rsidRPr="00777E3A" w:rsidRDefault="006A120B" w:rsidP="005C3917">
      <w:pPr>
        <w:pStyle w:val="ListParagraph"/>
        <w:numPr>
          <w:ilvl w:val="0"/>
          <w:numId w:val="1"/>
        </w:numPr>
        <w:spacing w:after="0"/>
        <w:rPr>
          <w:rFonts w:eastAsia="Times New Roman"/>
          <w:color w:val="212529"/>
          <w:lang w:eastAsia="en-GB"/>
        </w:rPr>
      </w:pPr>
      <w:r w:rsidRPr="00777E3A">
        <w:rPr>
          <w:rFonts w:eastAsia="Times New Roman"/>
          <w:color w:val="212529"/>
          <w:lang w:eastAsia="en-GB"/>
        </w:rPr>
        <w:t>Fairly and reasonably related in scale and kind to the development</w:t>
      </w:r>
      <w:r w:rsidR="007845C3" w:rsidRPr="00777E3A">
        <w:rPr>
          <w:rFonts w:eastAsia="Times New Roman"/>
          <w:color w:val="212529"/>
          <w:lang w:eastAsia="en-GB"/>
        </w:rPr>
        <w:t>.</w:t>
      </w:r>
    </w:p>
    <w:p w14:paraId="3DCC24B7" w14:textId="0E332C62" w:rsidR="006A120B" w:rsidRPr="00777E3A" w:rsidRDefault="006A120B" w:rsidP="008E5C42">
      <w:pPr>
        <w:spacing w:after="0"/>
        <w:rPr>
          <w:rFonts w:eastAsia="Times New Roman"/>
          <w:color w:val="212529"/>
          <w:lang w:eastAsia="en-GB"/>
        </w:rPr>
      </w:pPr>
    </w:p>
    <w:p w14:paraId="5C3A7315" w14:textId="02E98170" w:rsidR="00F937D1" w:rsidRPr="005C3917" w:rsidRDefault="00F937D1" w:rsidP="005C3917">
      <w:pPr>
        <w:pStyle w:val="ListParagraph"/>
        <w:numPr>
          <w:ilvl w:val="0"/>
          <w:numId w:val="46"/>
        </w:numPr>
        <w:spacing w:after="0"/>
        <w:ind w:hanging="720"/>
        <w:rPr>
          <w:rFonts w:eastAsia="Times New Roman"/>
          <w:color w:val="212529"/>
          <w:lang w:eastAsia="en-GB"/>
        </w:rPr>
      </w:pPr>
      <w:r w:rsidRPr="005C3917">
        <w:rPr>
          <w:rFonts w:eastAsia="Times New Roman"/>
          <w:color w:val="212529"/>
          <w:lang w:eastAsia="en-GB"/>
        </w:rPr>
        <w:t xml:space="preserve">These </w:t>
      </w:r>
      <w:r w:rsidR="00F1699D" w:rsidRPr="005C3917">
        <w:rPr>
          <w:rFonts w:eastAsia="Times New Roman"/>
          <w:color w:val="212529"/>
          <w:lang w:eastAsia="en-GB"/>
        </w:rPr>
        <w:t xml:space="preserve">three </w:t>
      </w:r>
      <w:r w:rsidR="007845C3" w:rsidRPr="005C3917">
        <w:rPr>
          <w:rFonts w:eastAsia="Times New Roman"/>
          <w:color w:val="212529"/>
          <w:lang w:eastAsia="en-GB"/>
        </w:rPr>
        <w:t xml:space="preserve">statutory </w:t>
      </w:r>
      <w:r w:rsidRPr="005C3917">
        <w:rPr>
          <w:rFonts w:eastAsia="Times New Roman"/>
          <w:color w:val="212529"/>
          <w:lang w:eastAsia="en-GB"/>
        </w:rPr>
        <w:t>tests are set out in Regulation 122 (as amended by the 2011 and 2019 Regulations) and as policy tests in the National Planning Policy Framework.</w:t>
      </w:r>
      <w:r w:rsidR="001A00AD" w:rsidRPr="005C3917">
        <w:rPr>
          <w:rFonts w:eastAsia="Times New Roman"/>
          <w:color w:val="212529"/>
          <w:lang w:eastAsia="en-GB"/>
        </w:rPr>
        <w:t xml:space="preserve"> Further details can also be found on the Planning Practice Guidance </w:t>
      </w:r>
      <w:hyperlink r:id="rId13">
        <w:r w:rsidR="001A00AD" w:rsidRPr="2934EBA0">
          <w:rPr>
            <w:color w:val="0000FF"/>
            <w:u w:val="single"/>
          </w:rPr>
          <w:t>Planning Obligations</w:t>
        </w:r>
      </w:hyperlink>
      <w:r w:rsidR="001A00AD" w:rsidRPr="2934EBA0">
        <w:t xml:space="preserve"> webpage.</w:t>
      </w:r>
    </w:p>
    <w:p w14:paraId="3BA1784A" w14:textId="77777777" w:rsidR="00396240" w:rsidRPr="00F20A58" w:rsidRDefault="00396240" w:rsidP="00396240">
      <w:pPr>
        <w:pStyle w:val="ListParagraph"/>
        <w:spacing w:after="0"/>
        <w:ind w:left="0"/>
        <w:rPr>
          <w:rFonts w:eastAsia="Times New Roman"/>
          <w:color w:val="212529"/>
          <w:lang w:eastAsia="en-GB"/>
        </w:rPr>
      </w:pPr>
    </w:p>
    <w:p w14:paraId="59284479" w14:textId="311E8084" w:rsidR="0029126C" w:rsidRPr="00777E3A" w:rsidRDefault="0026285D" w:rsidP="00A86FCC">
      <w:pPr>
        <w:pStyle w:val="Style2"/>
        <w:rPr>
          <w:sz w:val="24"/>
          <w:szCs w:val="24"/>
        </w:rPr>
      </w:pPr>
      <w:bookmarkStart w:id="10" w:name="_Toc61851455"/>
      <w:bookmarkStart w:id="11" w:name="_Toc62139444"/>
      <w:bookmarkStart w:id="12" w:name="_Toc179280787"/>
      <w:r w:rsidRPr="2934EBA0">
        <w:rPr>
          <w:sz w:val="24"/>
          <w:szCs w:val="24"/>
        </w:rPr>
        <w:t xml:space="preserve">Infrastructure </w:t>
      </w:r>
      <w:r w:rsidR="004B51FD" w:rsidRPr="2934EBA0">
        <w:rPr>
          <w:sz w:val="24"/>
          <w:szCs w:val="24"/>
        </w:rPr>
        <w:t>Provided</w:t>
      </w:r>
      <w:r w:rsidRPr="2934EBA0">
        <w:rPr>
          <w:sz w:val="24"/>
          <w:szCs w:val="24"/>
        </w:rPr>
        <w:t xml:space="preserve"> </w:t>
      </w:r>
      <w:r w:rsidR="001A3AB8" w:rsidRPr="2934EBA0">
        <w:rPr>
          <w:sz w:val="24"/>
          <w:szCs w:val="24"/>
        </w:rPr>
        <w:t xml:space="preserve">and Maintained </w:t>
      </w:r>
      <w:r w:rsidRPr="2934EBA0">
        <w:rPr>
          <w:sz w:val="24"/>
          <w:szCs w:val="24"/>
        </w:rPr>
        <w:t xml:space="preserve">by Eastleigh </w:t>
      </w:r>
      <w:r w:rsidR="004B51FD" w:rsidRPr="2934EBA0">
        <w:rPr>
          <w:sz w:val="24"/>
          <w:szCs w:val="24"/>
        </w:rPr>
        <w:t>Borough Council</w:t>
      </w:r>
      <w:bookmarkEnd w:id="10"/>
      <w:bookmarkEnd w:id="11"/>
      <w:bookmarkEnd w:id="12"/>
    </w:p>
    <w:p w14:paraId="6CEF6D20" w14:textId="57A42B50" w:rsidR="00956732" w:rsidRPr="005C3917" w:rsidRDefault="004B51FD" w:rsidP="2934EBA0">
      <w:pPr>
        <w:pStyle w:val="ListParagraph"/>
        <w:numPr>
          <w:ilvl w:val="0"/>
          <w:numId w:val="46"/>
        </w:numPr>
        <w:shd w:val="clear" w:color="auto" w:fill="FFFFFF" w:themeFill="background1"/>
        <w:tabs>
          <w:tab w:val="left" w:pos="8789"/>
        </w:tabs>
        <w:spacing w:after="0" w:line="240" w:lineRule="auto"/>
        <w:ind w:hanging="720"/>
        <w:rPr>
          <w:rFonts w:eastAsia="Times New Roman"/>
          <w:color w:val="212529"/>
          <w:lang w:eastAsia="en-GB"/>
        </w:rPr>
      </w:pPr>
      <w:r w:rsidRPr="005C3917">
        <w:rPr>
          <w:rFonts w:eastAsia="Times New Roman"/>
          <w:color w:val="212529"/>
          <w:lang w:eastAsia="en-GB"/>
        </w:rPr>
        <w:t>T</w:t>
      </w:r>
      <w:r w:rsidR="00B97CC0" w:rsidRPr="005C3917">
        <w:rPr>
          <w:rFonts w:eastAsia="Times New Roman"/>
          <w:color w:val="212529"/>
          <w:lang w:eastAsia="en-GB"/>
        </w:rPr>
        <w:t>h</w:t>
      </w:r>
      <w:r w:rsidR="00F56A40" w:rsidRPr="005C3917">
        <w:rPr>
          <w:rFonts w:eastAsia="Times New Roman"/>
          <w:color w:val="212529"/>
          <w:lang w:eastAsia="en-GB"/>
        </w:rPr>
        <w:t xml:space="preserve">is IFS provides information on </w:t>
      </w:r>
      <w:r w:rsidR="00B97CC0" w:rsidRPr="005C3917">
        <w:rPr>
          <w:rFonts w:eastAsia="Times New Roman"/>
          <w:color w:val="212529"/>
          <w:lang w:eastAsia="en-GB"/>
        </w:rPr>
        <w:t xml:space="preserve">those </w:t>
      </w:r>
      <w:r w:rsidR="00F70A54" w:rsidRPr="005C3917">
        <w:rPr>
          <w:rFonts w:eastAsia="Times New Roman"/>
          <w:color w:val="212529"/>
          <w:lang w:eastAsia="en-GB"/>
        </w:rPr>
        <w:t>planning</w:t>
      </w:r>
      <w:r w:rsidR="00B97CC0" w:rsidRPr="005C3917">
        <w:rPr>
          <w:rFonts w:eastAsia="Times New Roman"/>
          <w:color w:val="212529"/>
          <w:lang w:eastAsia="en-GB"/>
        </w:rPr>
        <w:t xml:space="preserve"> obligations </w:t>
      </w:r>
      <w:r w:rsidR="00F56A40" w:rsidRPr="005C3917">
        <w:rPr>
          <w:rFonts w:eastAsia="Times New Roman"/>
          <w:color w:val="212529"/>
          <w:lang w:eastAsia="en-GB"/>
        </w:rPr>
        <w:t xml:space="preserve">through </w:t>
      </w:r>
      <w:r w:rsidR="00B97CC0" w:rsidRPr="005C3917">
        <w:rPr>
          <w:rFonts w:eastAsia="Times New Roman"/>
          <w:color w:val="212529"/>
          <w:lang w:eastAsia="en-GB"/>
        </w:rPr>
        <w:t>which Eastleigh Borough Council is legally responsible for ensuring compliance</w:t>
      </w:r>
      <w:r w:rsidR="0026285D" w:rsidRPr="005C3917">
        <w:rPr>
          <w:rFonts w:eastAsia="Times New Roman"/>
          <w:color w:val="212529"/>
          <w:lang w:eastAsia="en-GB"/>
        </w:rPr>
        <w:t>.</w:t>
      </w:r>
      <w:r w:rsidRPr="005C3917">
        <w:rPr>
          <w:rFonts w:eastAsia="Times New Roman"/>
          <w:color w:val="212529"/>
          <w:lang w:eastAsia="en-GB"/>
        </w:rPr>
        <w:t xml:space="preserve"> </w:t>
      </w:r>
      <w:r w:rsidR="00B94B5C" w:rsidRPr="005C3917">
        <w:rPr>
          <w:rFonts w:eastAsia="Times New Roman"/>
          <w:color w:val="212529"/>
          <w:lang w:eastAsia="en-GB"/>
        </w:rPr>
        <w:t>There is a</w:t>
      </w:r>
      <w:r w:rsidR="00802635" w:rsidRPr="005C3917">
        <w:rPr>
          <w:rFonts w:eastAsia="Times New Roman"/>
          <w:color w:val="212529"/>
          <w:lang w:eastAsia="en-GB"/>
        </w:rPr>
        <w:t xml:space="preserve"> two</w:t>
      </w:r>
      <w:r w:rsidRPr="005C3917">
        <w:rPr>
          <w:rFonts w:eastAsia="Times New Roman"/>
          <w:color w:val="212529"/>
          <w:lang w:eastAsia="en-GB"/>
        </w:rPr>
        <w:t>-tier system of local government</w:t>
      </w:r>
      <w:r w:rsidR="00802635" w:rsidRPr="005C3917">
        <w:rPr>
          <w:rFonts w:eastAsia="Times New Roman"/>
          <w:color w:val="212529"/>
          <w:lang w:eastAsia="en-GB"/>
        </w:rPr>
        <w:t xml:space="preserve"> </w:t>
      </w:r>
      <w:r w:rsidR="00B94B5C" w:rsidRPr="005C3917">
        <w:rPr>
          <w:rFonts w:eastAsia="Times New Roman"/>
          <w:color w:val="212529"/>
          <w:lang w:eastAsia="en-GB"/>
        </w:rPr>
        <w:t>in Hampshire</w:t>
      </w:r>
      <w:r w:rsidR="002B7F94" w:rsidRPr="005C3917">
        <w:rPr>
          <w:rFonts w:eastAsia="Times New Roman"/>
          <w:color w:val="212529"/>
          <w:lang w:eastAsia="en-GB"/>
        </w:rPr>
        <w:t>. R</w:t>
      </w:r>
      <w:r w:rsidR="003F71BB" w:rsidRPr="005C3917">
        <w:rPr>
          <w:rFonts w:eastAsia="Times New Roman"/>
          <w:color w:val="212529"/>
          <w:lang w:eastAsia="en-GB"/>
        </w:rPr>
        <w:t>esponsibility for council services are split between Hampshire County Council (</w:t>
      </w:r>
      <w:r w:rsidR="007845C3" w:rsidRPr="005C3917">
        <w:rPr>
          <w:rFonts w:eastAsia="Times New Roman"/>
          <w:color w:val="212529"/>
          <w:lang w:eastAsia="en-GB"/>
        </w:rPr>
        <w:t xml:space="preserve">‘Upper tier’ </w:t>
      </w:r>
      <w:r w:rsidR="003F71BB" w:rsidRPr="005C3917">
        <w:rPr>
          <w:rFonts w:eastAsia="Times New Roman"/>
          <w:color w:val="212529"/>
          <w:lang w:eastAsia="en-GB"/>
        </w:rPr>
        <w:t xml:space="preserve">Authority) and each of the </w:t>
      </w:r>
      <w:r w:rsidR="007845C3" w:rsidRPr="005C3917">
        <w:rPr>
          <w:rFonts w:eastAsia="Times New Roman"/>
          <w:color w:val="212529"/>
          <w:lang w:eastAsia="en-GB"/>
        </w:rPr>
        <w:t xml:space="preserve">‘Lower tier’ </w:t>
      </w:r>
      <w:r w:rsidR="003F71BB" w:rsidRPr="005C3917">
        <w:rPr>
          <w:rFonts w:eastAsia="Times New Roman"/>
          <w:color w:val="212529"/>
          <w:lang w:eastAsia="en-GB"/>
        </w:rPr>
        <w:t xml:space="preserve">District Councils including Eastleigh Borough Council. Both Hampshire County Council and Eastleigh Borough Council therefore </w:t>
      </w:r>
      <w:r w:rsidR="007C5CBB" w:rsidRPr="005C3917">
        <w:rPr>
          <w:rFonts w:eastAsia="Times New Roman"/>
          <w:color w:val="212529"/>
          <w:lang w:eastAsia="en-GB"/>
        </w:rPr>
        <w:t>have</w:t>
      </w:r>
      <w:r w:rsidR="00113403" w:rsidRPr="005C3917">
        <w:rPr>
          <w:rFonts w:eastAsia="Times New Roman"/>
          <w:color w:val="212529"/>
          <w:lang w:eastAsia="en-GB"/>
        </w:rPr>
        <w:t xml:space="preserve"> </w:t>
      </w:r>
      <w:r w:rsidR="00802635" w:rsidRPr="005C3917">
        <w:rPr>
          <w:rFonts w:eastAsia="Times New Roman"/>
          <w:color w:val="212529"/>
          <w:lang w:eastAsia="en-GB"/>
        </w:rPr>
        <w:t>specific</w:t>
      </w:r>
      <w:r w:rsidR="007C5CBB" w:rsidRPr="005C3917">
        <w:rPr>
          <w:rFonts w:eastAsia="Times New Roman"/>
          <w:color w:val="212529"/>
          <w:lang w:eastAsia="en-GB"/>
        </w:rPr>
        <w:t xml:space="preserve"> responsibilities for </w:t>
      </w:r>
      <w:r w:rsidRPr="005C3917">
        <w:rPr>
          <w:rFonts w:eastAsia="Times New Roman"/>
          <w:color w:val="212529"/>
          <w:lang w:eastAsia="en-GB"/>
        </w:rPr>
        <w:t xml:space="preserve">providing and maintaining </w:t>
      </w:r>
      <w:r w:rsidR="003F71BB" w:rsidRPr="005C3917">
        <w:rPr>
          <w:rFonts w:eastAsia="Times New Roman"/>
          <w:color w:val="212529"/>
          <w:lang w:eastAsia="en-GB"/>
        </w:rPr>
        <w:t xml:space="preserve">certain </w:t>
      </w:r>
      <w:r w:rsidR="007C5CBB" w:rsidRPr="005C3917">
        <w:rPr>
          <w:rFonts w:eastAsia="Times New Roman"/>
          <w:color w:val="212529"/>
          <w:lang w:eastAsia="en-GB"/>
        </w:rPr>
        <w:t xml:space="preserve">types of infrastructure.  </w:t>
      </w:r>
    </w:p>
    <w:p w14:paraId="48BF77DE" w14:textId="77777777" w:rsidR="00F72748" w:rsidRPr="00CC2D77" w:rsidRDefault="00F72748" w:rsidP="2934EBA0">
      <w:pPr>
        <w:shd w:val="clear" w:color="auto" w:fill="FFFFFF" w:themeFill="background1"/>
        <w:tabs>
          <w:tab w:val="left" w:pos="8789"/>
        </w:tabs>
        <w:spacing w:after="0" w:line="240" w:lineRule="auto"/>
        <w:ind w:left="720" w:hanging="720"/>
        <w:rPr>
          <w:rFonts w:eastAsia="Times New Roman"/>
          <w:color w:val="212529"/>
          <w:highlight w:val="yellow"/>
          <w:lang w:eastAsia="en-GB"/>
        </w:rPr>
      </w:pPr>
    </w:p>
    <w:p w14:paraId="384B6FF8" w14:textId="78295A22" w:rsidR="00956732" w:rsidRPr="00530E6C" w:rsidRDefault="0053170A" w:rsidP="2934EBA0">
      <w:pPr>
        <w:pStyle w:val="ListParagraph"/>
        <w:numPr>
          <w:ilvl w:val="0"/>
          <w:numId w:val="46"/>
        </w:numPr>
        <w:shd w:val="clear" w:color="auto" w:fill="FFFFFF" w:themeFill="background1"/>
        <w:tabs>
          <w:tab w:val="left" w:pos="8789"/>
        </w:tabs>
        <w:spacing w:after="0" w:line="240" w:lineRule="auto"/>
        <w:ind w:hanging="720"/>
        <w:rPr>
          <w:rFonts w:eastAsia="Times New Roman"/>
          <w:color w:val="212529"/>
          <w:lang w:eastAsia="en-GB"/>
        </w:rPr>
      </w:pPr>
      <w:r w:rsidRPr="00530E6C">
        <w:rPr>
          <w:rFonts w:eastAsia="Times New Roman"/>
          <w:color w:val="212529"/>
          <w:lang w:eastAsia="en-GB"/>
        </w:rPr>
        <w:t>Developers</w:t>
      </w:r>
      <w:r w:rsidR="00E44ACE" w:rsidRPr="00530E6C">
        <w:rPr>
          <w:rFonts w:eastAsia="Times New Roman"/>
          <w:color w:val="212529"/>
          <w:lang w:eastAsia="en-GB"/>
        </w:rPr>
        <w:t xml:space="preserve"> </w:t>
      </w:r>
      <w:r w:rsidR="00956732" w:rsidRPr="00530E6C">
        <w:rPr>
          <w:rFonts w:eastAsia="Times New Roman"/>
          <w:color w:val="212529"/>
          <w:lang w:eastAsia="en-GB"/>
        </w:rPr>
        <w:t xml:space="preserve">enter </w:t>
      </w:r>
      <w:r w:rsidR="00B16514" w:rsidRPr="00530E6C">
        <w:rPr>
          <w:rFonts w:eastAsia="Times New Roman"/>
          <w:color w:val="212529"/>
          <w:lang w:eastAsia="en-GB"/>
        </w:rPr>
        <w:t>into</w:t>
      </w:r>
      <w:r w:rsidR="00F70A54" w:rsidRPr="00530E6C">
        <w:rPr>
          <w:rFonts w:eastAsia="Times New Roman"/>
          <w:color w:val="212529"/>
          <w:lang w:eastAsia="en-GB"/>
        </w:rPr>
        <w:t xml:space="preserve"> planning</w:t>
      </w:r>
      <w:r w:rsidR="00F72748" w:rsidRPr="00530E6C">
        <w:rPr>
          <w:rFonts w:eastAsia="Times New Roman"/>
          <w:color w:val="212529"/>
          <w:lang w:eastAsia="en-GB"/>
        </w:rPr>
        <w:t xml:space="preserve"> obligations </w:t>
      </w:r>
      <w:r w:rsidRPr="00530E6C">
        <w:rPr>
          <w:rFonts w:eastAsia="Times New Roman"/>
          <w:color w:val="212529"/>
          <w:lang w:eastAsia="en-GB"/>
        </w:rPr>
        <w:t xml:space="preserve">with the Council </w:t>
      </w:r>
      <w:r w:rsidR="00B80E42" w:rsidRPr="00530E6C">
        <w:rPr>
          <w:rFonts w:eastAsia="Times New Roman"/>
          <w:color w:val="212529"/>
          <w:lang w:eastAsia="en-GB"/>
        </w:rPr>
        <w:t xml:space="preserve">which </w:t>
      </w:r>
      <w:r w:rsidR="00E44ACE" w:rsidRPr="00530E6C">
        <w:rPr>
          <w:rFonts w:eastAsia="Times New Roman"/>
          <w:color w:val="212529"/>
          <w:lang w:eastAsia="en-GB"/>
        </w:rPr>
        <w:t xml:space="preserve">can </w:t>
      </w:r>
      <w:r w:rsidR="00B80E42" w:rsidRPr="00530E6C">
        <w:rPr>
          <w:rFonts w:eastAsia="Times New Roman"/>
          <w:color w:val="212529"/>
          <w:lang w:eastAsia="en-GB"/>
        </w:rPr>
        <w:t xml:space="preserve">relate to the provision </w:t>
      </w:r>
      <w:r w:rsidR="00F56A40" w:rsidRPr="00530E6C">
        <w:rPr>
          <w:rFonts w:eastAsia="Times New Roman"/>
          <w:color w:val="212529"/>
          <w:lang w:eastAsia="en-GB"/>
        </w:rPr>
        <w:t xml:space="preserve">of </w:t>
      </w:r>
      <w:r w:rsidR="009E11C8" w:rsidRPr="00530E6C">
        <w:rPr>
          <w:rFonts w:eastAsia="Times New Roman"/>
          <w:color w:val="212529"/>
          <w:lang w:eastAsia="en-GB"/>
        </w:rPr>
        <w:t>and maintenance of infrastructure across the</w:t>
      </w:r>
      <w:r w:rsidR="00956732" w:rsidRPr="00530E6C">
        <w:rPr>
          <w:rFonts w:eastAsia="Times New Roman"/>
          <w:color w:val="212529"/>
          <w:lang w:eastAsia="en-GB"/>
        </w:rPr>
        <w:t xml:space="preserve"> broad</w:t>
      </w:r>
      <w:r w:rsidR="009E11C8" w:rsidRPr="00530E6C">
        <w:rPr>
          <w:rFonts w:eastAsia="Times New Roman"/>
          <w:color w:val="212529"/>
          <w:lang w:eastAsia="en-GB"/>
        </w:rPr>
        <w:t xml:space="preserve"> </w:t>
      </w:r>
      <w:r w:rsidR="00956732" w:rsidRPr="00530E6C">
        <w:rPr>
          <w:rFonts w:eastAsia="Times New Roman"/>
          <w:color w:val="212529"/>
          <w:lang w:eastAsia="en-GB"/>
        </w:rPr>
        <w:t xml:space="preserve">categories shown in </w:t>
      </w:r>
      <w:r w:rsidR="001F7788" w:rsidRPr="00530E6C">
        <w:rPr>
          <w:rFonts w:eastAsia="Times New Roman"/>
          <w:color w:val="212529"/>
          <w:lang w:eastAsia="en-GB"/>
        </w:rPr>
        <w:t xml:space="preserve">the left sided column in </w:t>
      </w:r>
      <w:r w:rsidR="00956732" w:rsidRPr="00530E6C">
        <w:rPr>
          <w:rFonts w:eastAsia="Times New Roman"/>
          <w:color w:val="212529"/>
          <w:lang w:eastAsia="en-GB"/>
        </w:rPr>
        <w:t xml:space="preserve">Table </w:t>
      </w:r>
      <w:r w:rsidR="007360BC" w:rsidRPr="00530E6C">
        <w:rPr>
          <w:rFonts w:eastAsia="Times New Roman"/>
          <w:color w:val="212529"/>
          <w:lang w:eastAsia="en-GB"/>
        </w:rPr>
        <w:t>1</w:t>
      </w:r>
      <w:r w:rsidR="00956732" w:rsidRPr="00530E6C">
        <w:rPr>
          <w:rFonts w:eastAsia="Times New Roman"/>
          <w:color w:val="212529"/>
          <w:lang w:eastAsia="en-GB"/>
        </w:rPr>
        <w:t xml:space="preserve"> below. To provide a wider context, </w:t>
      </w:r>
      <w:r w:rsidR="002B7F94" w:rsidRPr="00530E6C">
        <w:rPr>
          <w:rFonts w:eastAsia="Times New Roman"/>
          <w:color w:val="212529"/>
          <w:lang w:eastAsia="en-GB"/>
        </w:rPr>
        <w:t xml:space="preserve">the right sided column shows the broad categories of </w:t>
      </w:r>
      <w:r w:rsidR="00956732" w:rsidRPr="00530E6C">
        <w:rPr>
          <w:rFonts w:eastAsia="Times New Roman"/>
          <w:color w:val="212529"/>
          <w:lang w:eastAsia="en-GB"/>
        </w:rPr>
        <w:t>planning obligations which relate to the provision of and maintenance of infrastructure which Hampshire County Council is responsible for</w:t>
      </w:r>
      <w:r w:rsidR="00EB47B5" w:rsidRPr="00530E6C">
        <w:rPr>
          <w:rFonts w:eastAsia="Times New Roman"/>
          <w:color w:val="212529"/>
          <w:lang w:eastAsia="en-GB"/>
        </w:rPr>
        <w:t xml:space="preserve"> (see Hampshire County Council’s IFS for further details)</w:t>
      </w:r>
      <w:r w:rsidR="00956732" w:rsidRPr="00530E6C">
        <w:rPr>
          <w:rFonts w:eastAsia="Times New Roman"/>
          <w:color w:val="212529"/>
          <w:lang w:eastAsia="en-GB"/>
        </w:rPr>
        <w:t>.</w:t>
      </w:r>
      <w:r w:rsidR="00777E3A" w:rsidRPr="00530E6C">
        <w:rPr>
          <w:rFonts w:eastAsia="Times New Roman"/>
          <w:color w:val="212529"/>
          <w:lang w:eastAsia="en-GB"/>
        </w:rPr>
        <w:t xml:space="preserve"> The Council passes financial contributions received </w:t>
      </w:r>
      <w:r w:rsidR="001F7788" w:rsidRPr="00530E6C">
        <w:rPr>
          <w:rFonts w:eastAsia="Times New Roman"/>
          <w:color w:val="212529"/>
          <w:lang w:eastAsia="en-GB"/>
        </w:rPr>
        <w:t xml:space="preserve">from developers </w:t>
      </w:r>
      <w:r w:rsidR="002B7F94" w:rsidRPr="00530E6C">
        <w:rPr>
          <w:rFonts w:eastAsia="Times New Roman"/>
          <w:color w:val="212529"/>
          <w:lang w:eastAsia="en-GB"/>
        </w:rPr>
        <w:t xml:space="preserve">for these categories of infrastructure </w:t>
      </w:r>
      <w:r w:rsidR="001F7788" w:rsidRPr="00530E6C">
        <w:rPr>
          <w:rFonts w:eastAsia="Times New Roman"/>
          <w:color w:val="212529"/>
          <w:lang w:eastAsia="en-GB"/>
        </w:rPr>
        <w:t xml:space="preserve">onto HCC once planning permission is granted. </w:t>
      </w:r>
    </w:p>
    <w:p w14:paraId="367D8E68" w14:textId="319935A8" w:rsidR="00F32EE2" w:rsidRPr="00F20A58" w:rsidRDefault="00F32EE2" w:rsidP="2934EBA0">
      <w:pPr>
        <w:shd w:val="clear" w:color="auto" w:fill="FFFFFF" w:themeFill="background1"/>
        <w:tabs>
          <w:tab w:val="left" w:pos="8789"/>
        </w:tabs>
        <w:spacing w:after="0" w:line="240" w:lineRule="auto"/>
        <w:jc w:val="both"/>
        <w:rPr>
          <w:rFonts w:eastAsia="Times New Roman"/>
          <w:color w:val="212529"/>
          <w:lang w:eastAsia="en-GB"/>
        </w:rPr>
      </w:pPr>
    </w:p>
    <w:p w14:paraId="0DCE200A" w14:textId="7D7A6266" w:rsidR="00E44ACE" w:rsidRPr="001F7788" w:rsidRDefault="00E44ACE" w:rsidP="00A547FE">
      <w:pPr>
        <w:pStyle w:val="Style3"/>
      </w:pPr>
      <w:bookmarkStart w:id="13" w:name="_Toc62123873"/>
      <w:bookmarkStart w:id="14" w:name="_Toc88564889"/>
      <w:bookmarkStart w:id="15" w:name="_Toc179279251"/>
      <w:r w:rsidRPr="001F7788">
        <w:t xml:space="preserve">Table </w:t>
      </w:r>
      <w:r w:rsidR="007360BC" w:rsidRPr="001F7788">
        <w:t>1</w:t>
      </w:r>
      <w:r w:rsidRPr="001F7788">
        <w:t>: Examples of infrastructure provided by Eastleigh Borough Council and Hampshire County Council</w:t>
      </w:r>
      <w:bookmarkEnd w:id="13"/>
      <w:bookmarkEnd w:id="14"/>
      <w:bookmarkEnd w:id="15"/>
      <w:r w:rsidRPr="001F7788">
        <w:t xml:space="preserve"> </w:t>
      </w:r>
    </w:p>
    <w:tbl>
      <w:tblPr>
        <w:tblStyle w:val="TableGrid"/>
        <w:tblW w:w="0" w:type="auto"/>
        <w:tblLook w:val="04A0" w:firstRow="1" w:lastRow="0" w:firstColumn="1" w:lastColumn="0" w:noHBand="0" w:noVBand="1"/>
      </w:tblPr>
      <w:tblGrid>
        <w:gridCol w:w="4508"/>
        <w:gridCol w:w="4508"/>
      </w:tblGrid>
      <w:tr w:rsidR="00E44ACE" w:rsidRPr="00CC2D77" w14:paraId="19A638E5" w14:textId="77777777" w:rsidTr="00852726">
        <w:trPr>
          <w:tblHeader/>
        </w:trPr>
        <w:tc>
          <w:tcPr>
            <w:tcW w:w="4508" w:type="dxa"/>
            <w:shd w:val="clear" w:color="auto" w:fill="00B050"/>
          </w:tcPr>
          <w:p w14:paraId="1DFA70A7" w14:textId="77777777" w:rsidR="00852726" w:rsidRPr="001F7788" w:rsidRDefault="00852726" w:rsidP="00E44ACE">
            <w:pPr>
              <w:tabs>
                <w:tab w:val="left" w:pos="8789"/>
              </w:tabs>
              <w:jc w:val="both"/>
              <w:rPr>
                <w:rFonts w:eastAsia="Times New Roman"/>
                <w:b/>
                <w:bCs/>
                <w:color w:val="FFFFFF" w:themeColor="background1"/>
                <w:lang w:eastAsia="en-GB"/>
              </w:rPr>
            </w:pPr>
          </w:p>
          <w:p w14:paraId="18A81C29" w14:textId="044D2112" w:rsidR="00E44ACE" w:rsidRPr="001F7788" w:rsidRDefault="00852726" w:rsidP="00E44ACE">
            <w:pPr>
              <w:tabs>
                <w:tab w:val="left" w:pos="8789"/>
              </w:tabs>
              <w:jc w:val="both"/>
              <w:rPr>
                <w:rFonts w:eastAsia="Times New Roman"/>
                <w:b/>
                <w:bCs/>
                <w:color w:val="FFFFFF" w:themeColor="background1"/>
                <w:lang w:eastAsia="en-GB"/>
              </w:rPr>
            </w:pPr>
            <w:r w:rsidRPr="001F7788">
              <w:rPr>
                <w:rFonts w:eastAsia="Times New Roman"/>
                <w:b/>
                <w:bCs/>
                <w:color w:val="FFFFFF" w:themeColor="background1"/>
                <w:lang w:eastAsia="en-GB"/>
              </w:rPr>
              <w:t xml:space="preserve">Eastleigh Borough Council </w:t>
            </w:r>
          </w:p>
          <w:p w14:paraId="3FCD93A6" w14:textId="5EA26FCE" w:rsidR="00852726" w:rsidRPr="001F7788" w:rsidRDefault="00852726" w:rsidP="00E44ACE">
            <w:pPr>
              <w:tabs>
                <w:tab w:val="left" w:pos="8789"/>
              </w:tabs>
              <w:jc w:val="both"/>
              <w:rPr>
                <w:rFonts w:eastAsia="Times New Roman"/>
                <w:b/>
                <w:bCs/>
                <w:color w:val="FFFFFF" w:themeColor="background1"/>
                <w:lang w:eastAsia="en-GB"/>
              </w:rPr>
            </w:pPr>
          </w:p>
        </w:tc>
        <w:tc>
          <w:tcPr>
            <w:tcW w:w="4508" w:type="dxa"/>
            <w:shd w:val="clear" w:color="auto" w:fill="00B050"/>
          </w:tcPr>
          <w:p w14:paraId="484C20AE" w14:textId="77777777" w:rsidR="00E44ACE" w:rsidRPr="001F7788" w:rsidRDefault="00E44ACE" w:rsidP="00E44ACE">
            <w:pPr>
              <w:tabs>
                <w:tab w:val="left" w:pos="8789"/>
              </w:tabs>
              <w:jc w:val="both"/>
              <w:rPr>
                <w:rFonts w:eastAsia="Times New Roman"/>
                <w:b/>
                <w:bCs/>
                <w:color w:val="FFFFFF" w:themeColor="background1"/>
                <w:lang w:eastAsia="en-GB"/>
              </w:rPr>
            </w:pPr>
          </w:p>
          <w:p w14:paraId="4CA60F4F" w14:textId="0808CD1E" w:rsidR="00852726" w:rsidRPr="001F7788" w:rsidRDefault="00852726" w:rsidP="00E44ACE">
            <w:pPr>
              <w:tabs>
                <w:tab w:val="left" w:pos="8789"/>
              </w:tabs>
              <w:jc w:val="both"/>
              <w:rPr>
                <w:rFonts w:eastAsia="Times New Roman"/>
                <w:b/>
                <w:bCs/>
                <w:color w:val="FFFFFF" w:themeColor="background1"/>
                <w:lang w:eastAsia="en-GB"/>
              </w:rPr>
            </w:pPr>
            <w:r w:rsidRPr="001F7788">
              <w:rPr>
                <w:rFonts w:eastAsia="Times New Roman"/>
                <w:b/>
                <w:bCs/>
                <w:color w:val="FFFFFF" w:themeColor="background1"/>
                <w:lang w:eastAsia="en-GB"/>
              </w:rPr>
              <w:t>Hampshire County Council</w:t>
            </w:r>
          </w:p>
        </w:tc>
      </w:tr>
      <w:tr w:rsidR="00E44ACE" w:rsidRPr="00CC2D77" w14:paraId="10E30716" w14:textId="77777777" w:rsidTr="00E44ACE">
        <w:tc>
          <w:tcPr>
            <w:tcW w:w="4508" w:type="dxa"/>
          </w:tcPr>
          <w:p w14:paraId="3741F982" w14:textId="77777777" w:rsidR="00852726" w:rsidRPr="001F7788" w:rsidRDefault="00852726" w:rsidP="002B7F94">
            <w:pPr>
              <w:tabs>
                <w:tab w:val="left" w:pos="8789"/>
              </w:tabs>
              <w:rPr>
                <w:rFonts w:eastAsia="Times New Roman"/>
                <w:color w:val="212529"/>
                <w:lang w:eastAsia="en-GB"/>
              </w:rPr>
            </w:pPr>
          </w:p>
          <w:p w14:paraId="777CE758" w14:textId="0DC41ABA"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Affordable housing (not infrastructure but funded through developer contributions)</w:t>
            </w:r>
          </w:p>
          <w:p w14:paraId="18E171F3" w14:textId="5E081790" w:rsidR="00852726" w:rsidRPr="001F7788" w:rsidRDefault="00852726" w:rsidP="002B7F94">
            <w:pPr>
              <w:tabs>
                <w:tab w:val="left" w:pos="8789"/>
              </w:tabs>
              <w:rPr>
                <w:rFonts w:eastAsia="Times New Roman"/>
                <w:color w:val="212529"/>
                <w:lang w:eastAsia="en-GB"/>
              </w:rPr>
            </w:pPr>
          </w:p>
        </w:tc>
        <w:tc>
          <w:tcPr>
            <w:tcW w:w="4508" w:type="dxa"/>
          </w:tcPr>
          <w:p w14:paraId="1FFCAC23" w14:textId="77777777" w:rsidR="00852726" w:rsidRPr="001F7788" w:rsidRDefault="00852726" w:rsidP="002B7F94">
            <w:pPr>
              <w:tabs>
                <w:tab w:val="left" w:pos="8789"/>
              </w:tabs>
              <w:rPr>
                <w:rFonts w:eastAsia="Times New Roman"/>
                <w:color w:val="212529"/>
                <w:lang w:eastAsia="en-GB"/>
              </w:rPr>
            </w:pPr>
          </w:p>
          <w:p w14:paraId="1BDD3911" w14:textId="790DC2F2"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Highways and transport</w:t>
            </w:r>
          </w:p>
        </w:tc>
      </w:tr>
      <w:tr w:rsidR="00E44ACE" w:rsidRPr="00CC2D77" w14:paraId="1EB88CD2" w14:textId="77777777" w:rsidTr="00576455">
        <w:trPr>
          <w:trHeight w:val="734"/>
        </w:trPr>
        <w:tc>
          <w:tcPr>
            <w:tcW w:w="4508" w:type="dxa"/>
          </w:tcPr>
          <w:p w14:paraId="1803928B" w14:textId="77777777" w:rsidR="00852726" w:rsidRPr="001F7788" w:rsidRDefault="00852726" w:rsidP="002B7F94">
            <w:pPr>
              <w:tabs>
                <w:tab w:val="left" w:pos="8789"/>
              </w:tabs>
              <w:rPr>
                <w:rFonts w:eastAsia="Times New Roman"/>
                <w:color w:val="212529"/>
                <w:lang w:eastAsia="en-GB"/>
              </w:rPr>
            </w:pPr>
          </w:p>
          <w:p w14:paraId="70939C86" w14:textId="28013D80" w:rsidR="00852726"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Open space and green infrastructure</w:t>
            </w:r>
          </w:p>
        </w:tc>
        <w:tc>
          <w:tcPr>
            <w:tcW w:w="4508" w:type="dxa"/>
          </w:tcPr>
          <w:p w14:paraId="38821703" w14:textId="77777777" w:rsidR="00852726" w:rsidRPr="001F7788" w:rsidRDefault="00852726" w:rsidP="002B7F94">
            <w:pPr>
              <w:tabs>
                <w:tab w:val="left" w:pos="8789"/>
              </w:tabs>
              <w:rPr>
                <w:rFonts w:eastAsia="Times New Roman"/>
                <w:color w:val="212529"/>
                <w:lang w:eastAsia="en-GB"/>
              </w:rPr>
            </w:pPr>
          </w:p>
          <w:p w14:paraId="69E8B019" w14:textId="131C1C9B"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Education</w:t>
            </w:r>
          </w:p>
        </w:tc>
      </w:tr>
      <w:tr w:rsidR="00E44ACE" w:rsidRPr="00CC2D77" w14:paraId="30C492C1" w14:textId="77777777" w:rsidTr="00E44ACE">
        <w:tc>
          <w:tcPr>
            <w:tcW w:w="4508" w:type="dxa"/>
          </w:tcPr>
          <w:p w14:paraId="7ACDE2BC" w14:textId="77777777" w:rsidR="00852726" w:rsidRPr="001F7788" w:rsidRDefault="00852726" w:rsidP="002B7F94">
            <w:pPr>
              <w:tabs>
                <w:tab w:val="left" w:pos="8789"/>
              </w:tabs>
              <w:rPr>
                <w:rFonts w:eastAsia="Times New Roman"/>
                <w:color w:val="212529"/>
                <w:lang w:eastAsia="en-GB"/>
              </w:rPr>
            </w:pPr>
          </w:p>
          <w:p w14:paraId="1B4C1A38" w14:textId="77777777"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Children’s play areas</w:t>
            </w:r>
          </w:p>
          <w:p w14:paraId="28FF10AF" w14:textId="47802D06" w:rsidR="00576455" w:rsidRPr="001F7788" w:rsidRDefault="00576455" w:rsidP="002B7F94">
            <w:pPr>
              <w:tabs>
                <w:tab w:val="left" w:pos="8789"/>
              </w:tabs>
              <w:rPr>
                <w:rFonts w:eastAsia="Times New Roman"/>
                <w:color w:val="212529"/>
                <w:lang w:eastAsia="en-GB"/>
              </w:rPr>
            </w:pPr>
          </w:p>
        </w:tc>
        <w:tc>
          <w:tcPr>
            <w:tcW w:w="4508" w:type="dxa"/>
          </w:tcPr>
          <w:p w14:paraId="1B2E810E" w14:textId="77777777" w:rsidR="00852726" w:rsidRPr="001F7788" w:rsidRDefault="00852726" w:rsidP="002B7F94">
            <w:pPr>
              <w:tabs>
                <w:tab w:val="left" w:pos="8789"/>
              </w:tabs>
              <w:rPr>
                <w:rFonts w:eastAsia="Times New Roman"/>
                <w:color w:val="212529"/>
                <w:lang w:eastAsia="en-GB"/>
              </w:rPr>
            </w:pPr>
          </w:p>
          <w:p w14:paraId="5C2FCC7C" w14:textId="5196A46B"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 xml:space="preserve">Minerals and waste </w:t>
            </w:r>
          </w:p>
        </w:tc>
      </w:tr>
      <w:tr w:rsidR="00E44ACE" w:rsidRPr="00CC2D77" w14:paraId="4DEB2F53" w14:textId="77777777" w:rsidTr="00E44ACE">
        <w:tc>
          <w:tcPr>
            <w:tcW w:w="4508" w:type="dxa"/>
          </w:tcPr>
          <w:p w14:paraId="0CB334B0" w14:textId="77777777" w:rsidR="00852726" w:rsidRPr="001F7788" w:rsidRDefault="00852726" w:rsidP="002B7F94">
            <w:pPr>
              <w:tabs>
                <w:tab w:val="left" w:pos="8789"/>
              </w:tabs>
              <w:rPr>
                <w:rFonts w:eastAsia="Times New Roman"/>
                <w:color w:val="212529"/>
                <w:lang w:eastAsia="en-GB"/>
              </w:rPr>
            </w:pPr>
          </w:p>
          <w:p w14:paraId="39B30EB2" w14:textId="5D49FE4C" w:rsidR="00576455"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Sustainable urban drainage systems (</w:t>
            </w:r>
            <w:proofErr w:type="spellStart"/>
            <w:r w:rsidRPr="001F7788">
              <w:rPr>
                <w:rFonts w:eastAsia="Times New Roman"/>
                <w:color w:val="212529"/>
                <w:lang w:eastAsia="en-GB"/>
              </w:rPr>
              <w:t>SuDS</w:t>
            </w:r>
            <w:proofErr w:type="spellEnd"/>
            <w:r w:rsidRPr="001F7788">
              <w:rPr>
                <w:rFonts w:eastAsia="Times New Roman"/>
                <w:color w:val="212529"/>
                <w:lang w:eastAsia="en-GB"/>
              </w:rPr>
              <w:t>)</w:t>
            </w:r>
          </w:p>
          <w:p w14:paraId="003ECA90" w14:textId="51F8F923" w:rsidR="00852726" w:rsidRPr="001F7788" w:rsidRDefault="00852726" w:rsidP="002B7F94">
            <w:pPr>
              <w:tabs>
                <w:tab w:val="left" w:pos="8789"/>
              </w:tabs>
              <w:rPr>
                <w:rFonts w:eastAsia="Times New Roman"/>
                <w:color w:val="212529"/>
                <w:lang w:eastAsia="en-GB"/>
              </w:rPr>
            </w:pPr>
          </w:p>
        </w:tc>
        <w:tc>
          <w:tcPr>
            <w:tcW w:w="4508" w:type="dxa"/>
          </w:tcPr>
          <w:p w14:paraId="218E1556" w14:textId="77777777" w:rsidR="00852726" w:rsidRPr="001F7788" w:rsidRDefault="00852726" w:rsidP="002B7F94">
            <w:pPr>
              <w:tabs>
                <w:tab w:val="left" w:pos="8789"/>
              </w:tabs>
              <w:rPr>
                <w:rFonts w:eastAsia="Times New Roman"/>
                <w:color w:val="212529"/>
                <w:lang w:eastAsia="en-GB"/>
              </w:rPr>
            </w:pPr>
          </w:p>
          <w:p w14:paraId="03ED9EA1" w14:textId="13619497"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Public rights of way</w:t>
            </w:r>
          </w:p>
        </w:tc>
      </w:tr>
      <w:tr w:rsidR="00E44ACE" w:rsidRPr="00CC2D77" w14:paraId="477251BA" w14:textId="77777777" w:rsidTr="00E44ACE">
        <w:tc>
          <w:tcPr>
            <w:tcW w:w="4508" w:type="dxa"/>
          </w:tcPr>
          <w:p w14:paraId="2BC6DCFD" w14:textId="77777777" w:rsidR="00852726" w:rsidRPr="001F7788" w:rsidRDefault="00852726" w:rsidP="002B7F94">
            <w:pPr>
              <w:tabs>
                <w:tab w:val="left" w:pos="8789"/>
              </w:tabs>
              <w:rPr>
                <w:rFonts w:eastAsia="Times New Roman"/>
                <w:color w:val="212529"/>
                <w:lang w:eastAsia="en-GB"/>
              </w:rPr>
            </w:pPr>
          </w:p>
          <w:p w14:paraId="4C231B6E" w14:textId="7E98127D" w:rsidR="00576455"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Sustainable transport infrastructure</w:t>
            </w:r>
          </w:p>
          <w:p w14:paraId="52836B23" w14:textId="07189527" w:rsidR="00852726" w:rsidRPr="001F7788" w:rsidRDefault="00852726" w:rsidP="002B7F94">
            <w:pPr>
              <w:tabs>
                <w:tab w:val="left" w:pos="8789"/>
              </w:tabs>
              <w:rPr>
                <w:rFonts w:eastAsia="Times New Roman"/>
                <w:color w:val="212529"/>
                <w:lang w:eastAsia="en-GB"/>
              </w:rPr>
            </w:pPr>
          </w:p>
        </w:tc>
        <w:tc>
          <w:tcPr>
            <w:tcW w:w="4508" w:type="dxa"/>
          </w:tcPr>
          <w:p w14:paraId="0B63725F" w14:textId="77777777" w:rsidR="00852726" w:rsidRPr="001F7788" w:rsidRDefault="00852726" w:rsidP="002B7F94">
            <w:pPr>
              <w:tabs>
                <w:tab w:val="left" w:pos="8789"/>
              </w:tabs>
              <w:rPr>
                <w:rFonts w:eastAsia="Times New Roman"/>
                <w:color w:val="212529"/>
                <w:lang w:eastAsia="en-GB"/>
              </w:rPr>
            </w:pPr>
          </w:p>
          <w:p w14:paraId="16B20B90" w14:textId="16927371"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Flood risk</w:t>
            </w:r>
          </w:p>
        </w:tc>
      </w:tr>
      <w:tr w:rsidR="00E44ACE" w:rsidRPr="00CC2D77" w14:paraId="1FC7BE19" w14:textId="77777777" w:rsidTr="00E44ACE">
        <w:tc>
          <w:tcPr>
            <w:tcW w:w="4508" w:type="dxa"/>
          </w:tcPr>
          <w:p w14:paraId="5EF8E1F7" w14:textId="77777777" w:rsidR="00852726" w:rsidRPr="001F7788" w:rsidRDefault="00852726" w:rsidP="002B7F94">
            <w:pPr>
              <w:tabs>
                <w:tab w:val="left" w:pos="8789"/>
              </w:tabs>
              <w:rPr>
                <w:rFonts w:eastAsia="Times New Roman"/>
                <w:color w:val="212529"/>
                <w:lang w:eastAsia="en-GB"/>
              </w:rPr>
            </w:pPr>
          </w:p>
          <w:p w14:paraId="167617EC" w14:textId="77777777"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 xml:space="preserve">Community facilities and relating infrastructure </w:t>
            </w:r>
          </w:p>
          <w:p w14:paraId="34BA2B26" w14:textId="0D01BB2B" w:rsidR="00852726" w:rsidRPr="001F7788" w:rsidRDefault="00852726" w:rsidP="002B7F94">
            <w:pPr>
              <w:tabs>
                <w:tab w:val="left" w:pos="8789"/>
              </w:tabs>
              <w:rPr>
                <w:rFonts w:eastAsia="Times New Roman"/>
                <w:color w:val="212529"/>
                <w:lang w:eastAsia="en-GB"/>
              </w:rPr>
            </w:pPr>
          </w:p>
        </w:tc>
        <w:tc>
          <w:tcPr>
            <w:tcW w:w="4508" w:type="dxa"/>
          </w:tcPr>
          <w:p w14:paraId="190EE1EE" w14:textId="77777777" w:rsidR="00852726" w:rsidRPr="001F7788" w:rsidRDefault="00852726" w:rsidP="002B7F94">
            <w:pPr>
              <w:tabs>
                <w:tab w:val="left" w:pos="8789"/>
              </w:tabs>
              <w:rPr>
                <w:rFonts w:eastAsia="Times New Roman"/>
                <w:color w:val="212529"/>
                <w:lang w:eastAsia="en-GB"/>
              </w:rPr>
            </w:pPr>
          </w:p>
          <w:p w14:paraId="651633A2" w14:textId="4B806E28" w:rsidR="00E44ACE" w:rsidRPr="001F7788" w:rsidRDefault="00E44ACE" w:rsidP="002B7F94">
            <w:pPr>
              <w:tabs>
                <w:tab w:val="left" w:pos="8789"/>
              </w:tabs>
              <w:rPr>
                <w:rFonts w:eastAsia="Times New Roman"/>
                <w:color w:val="212529"/>
                <w:lang w:eastAsia="en-GB"/>
              </w:rPr>
            </w:pPr>
            <w:r w:rsidRPr="001F7788">
              <w:rPr>
                <w:rFonts w:eastAsia="Times New Roman"/>
                <w:color w:val="212529"/>
                <w:lang w:eastAsia="en-GB"/>
              </w:rPr>
              <w:t>Libraries</w:t>
            </w:r>
          </w:p>
        </w:tc>
      </w:tr>
      <w:tr w:rsidR="00E44ACE" w:rsidRPr="00CC2D77" w14:paraId="4D1A76AF" w14:textId="77777777" w:rsidTr="00E44ACE">
        <w:tc>
          <w:tcPr>
            <w:tcW w:w="4508" w:type="dxa"/>
          </w:tcPr>
          <w:p w14:paraId="327BADEE" w14:textId="77777777" w:rsidR="00852726" w:rsidRPr="001F7788" w:rsidRDefault="00852726" w:rsidP="002B7F94">
            <w:pPr>
              <w:tabs>
                <w:tab w:val="left" w:pos="8789"/>
              </w:tabs>
              <w:rPr>
                <w:rFonts w:eastAsia="Times New Roman"/>
                <w:color w:val="212529"/>
                <w:lang w:eastAsia="en-GB"/>
              </w:rPr>
            </w:pPr>
          </w:p>
          <w:p w14:paraId="264A805D" w14:textId="77777777" w:rsidR="00852726" w:rsidRDefault="00E44ACE" w:rsidP="002B7F94">
            <w:pPr>
              <w:tabs>
                <w:tab w:val="left" w:pos="8789"/>
              </w:tabs>
              <w:rPr>
                <w:rFonts w:eastAsia="Times New Roman"/>
                <w:color w:val="212529"/>
                <w:lang w:eastAsia="en-GB"/>
              </w:rPr>
            </w:pPr>
            <w:r w:rsidRPr="001F7788">
              <w:rPr>
                <w:rFonts w:eastAsia="Times New Roman"/>
                <w:color w:val="212529"/>
                <w:lang w:eastAsia="en-GB"/>
              </w:rPr>
              <w:t>Community development workers</w:t>
            </w:r>
          </w:p>
          <w:p w14:paraId="7B025F24" w14:textId="77777777" w:rsidR="00576455" w:rsidRDefault="00576455" w:rsidP="002B7F94">
            <w:pPr>
              <w:tabs>
                <w:tab w:val="left" w:pos="8789"/>
              </w:tabs>
              <w:rPr>
                <w:rFonts w:eastAsia="Times New Roman"/>
                <w:color w:val="212529"/>
                <w:lang w:eastAsia="en-GB"/>
              </w:rPr>
            </w:pPr>
          </w:p>
          <w:p w14:paraId="4CD47C4E" w14:textId="15BDCC39" w:rsidR="00CA474A" w:rsidRPr="001F7788" w:rsidRDefault="00CA474A" w:rsidP="002B7F94">
            <w:pPr>
              <w:tabs>
                <w:tab w:val="left" w:pos="8789"/>
              </w:tabs>
              <w:rPr>
                <w:rFonts w:eastAsia="Times New Roman"/>
                <w:color w:val="212529"/>
                <w:lang w:eastAsia="en-GB"/>
              </w:rPr>
            </w:pPr>
          </w:p>
        </w:tc>
        <w:tc>
          <w:tcPr>
            <w:tcW w:w="4508" w:type="dxa"/>
          </w:tcPr>
          <w:p w14:paraId="0EB19128" w14:textId="77777777" w:rsidR="00E44ACE" w:rsidRPr="001F7788" w:rsidRDefault="00E44ACE" w:rsidP="002B7F94">
            <w:pPr>
              <w:tabs>
                <w:tab w:val="left" w:pos="8789"/>
              </w:tabs>
              <w:rPr>
                <w:rFonts w:eastAsia="Times New Roman"/>
                <w:color w:val="212529"/>
                <w:lang w:eastAsia="en-GB"/>
              </w:rPr>
            </w:pPr>
          </w:p>
        </w:tc>
      </w:tr>
      <w:tr w:rsidR="00E44ACE" w:rsidRPr="00CC2D77" w14:paraId="6AC3A6B6" w14:textId="77777777" w:rsidTr="00E44ACE">
        <w:tc>
          <w:tcPr>
            <w:tcW w:w="4508" w:type="dxa"/>
          </w:tcPr>
          <w:p w14:paraId="140DE83F" w14:textId="77777777" w:rsidR="00852726" w:rsidRPr="0075589E" w:rsidRDefault="00852726" w:rsidP="00E44ACE">
            <w:pPr>
              <w:tabs>
                <w:tab w:val="left" w:pos="8789"/>
              </w:tabs>
              <w:jc w:val="both"/>
              <w:rPr>
                <w:rFonts w:eastAsia="Times New Roman"/>
                <w:color w:val="212529"/>
                <w:lang w:eastAsia="en-GB"/>
              </w:rPr>
            </w:pPr>
          </w:p>
          <w:p w14:paraId="56048537" w14:textId="77777777" w:rsidR="00E44ACE" w:rsidRPr="0075589E" w:rsidRDefault="00E44ACE" w:rsidP="00E44ACE">
            <w:pPr>
              <w:tabs>
                <w:tab w:val="left" w:pos="8789"/>
              </w:tabs>
              <w:jc w:val="both"/>
              <w:rPr>
                <w:rFonts w:eastAsia="Times New Roman"/>
                <w:color w:val="212529"/>
                <w:lang w:eastAsia="en-GB"/>
              </w:rPr>
            </w:pPr>
            <w:r w:rsidRPr="0075589E">
              <w:rPr>
                <w:rFonts w:eastAsia="Times New Roman"/>
                <w:color w:val="212529"/>
                <w:lang w:eastAsia="en-GB"/>
              </w:rPr>
              <w:t>Health facilities</w:t>
            </w:r>
            <w:r w:rsidR="007D1202" w:rsidRPr="0075589E">
              <w:rPr>
                <w:rFonts w:eastAsia="Times New Roman"/>
                <w:color w:val="212529"/>
                <w:lang w:eastAsia="en-GB"/>
              </w:rPr>
              <w:t xml:space="preserve"> (i.e. capital infrastructure as opposed to revenue services)</w:t>
            </w:r>
          </w:p>
          <w:p w14:paraId="0B47F889" w14:textId="749367DD" w:rsidR="00852726" w:rsidRPr="0075589E" w:rsidRDefault="00852726" w:rsidP="00E44ACE">
            <w:pPr>
              <w:tabs>
                <w:tab w:val="left" w:pos="8789"/>
              </w:tabs>
              <w:jc w:val="both"/>
              <w:rPr>
                <w:rFonts w:eastAsia="Times New Roman"/>
                <w:color w:val="212529"/>
                <w:lang w:eastAsia="en-GB"/>
              </w:rPr>
            </w:pPr>
          </w:p>
        </w:tc>
        <w:tc>
          <w:tcPr>
            <w:tcW w:w="4508" w:type="dxa"/>
          </w:tcPr>
          <w:p w14:paraId="631654E4" w14:textId="77777777" w:rsidR="00E44ACE" w:rsidRPr="00CC2D77" w:rsidRDefault="00E44ACE" w:rsidP="00E44ACE">
            <w:pPr>
              <w:tabs>
                <w:tab w:val="left" w:pos="8789"/>
              </w:tabs>
              <w:jc w:val="both"/>
              <w:rPr>
                <w:rFonts w:eastAsia="Times New Roman"/>
                <w:color w:val="212529"/>
                <w:highlight w:val="yellow"/>
                <w:lang w:eastAsia="en-GB"/>
              </w:rPr>
            </w:pPr>
          </w:p>
        </w:tc>
      </w:tr>
      <w:tr w:rsidR="00E44ACE" w:rsidRPr="00CC2D77" w14:paraId="023F2067" w14:textId="77777777" w:rsidTr="00E44ACE">
        <w:tc>
          <w:tcPr>
            <w:tcW w:w="4508" w:type="dxa"/>
          </w:tcPr>
          <w:p w14:paraId="3080F4FE" w14:textId="77777777" w:rsidR="00852726" w:rsidRPr="0075589E" w:rsidRDefault="00852726" w:rsidP="00E44ACE">
            <w:pPr>
              <w:tabs>
                <w:tab w:val="left" w:pos="8789"/>
              </w:tabs>
              <w:jc w:val="both"/>
              <w:rPr>
                <w:rFonts w:eastAsia="Times New Roman"/>
                <w:color w:val="212529"/>
                <w:lang w:eastAsia="en-GB"/>
              </w:rPr>
            </w:pPr>
          </w:p>
          <w:p w14:paraId="2B0220E6" w14:textId="5838455F" w:rsidR="00576455" w:rsidRPr="0075589E" w:rsidRDefault="00E44ACE" w:rsidP="00E44ACE">
            <w:pPr>
              <w:tabs>
                <w:tab w:val="left" w:pos="8789"/>
              </w:tabs>
              <w:jc w:val="both"/>
              <w:rPr>
                <w:rFonts w:eastAsia="Times New Roman"/>
                <w:color w:val="212529"/>
                <w:lang w:eastAsia="en-GB"/>
              </w:rPr>
            </w:pPr>
            <w:r w:rsidRPr="0075589E">
              <w:rPr>
                <w:rFonts w:eastAsia="Times New Roman"/>
                <w:color w:val="212529"/>
                <w:lang w:eastAsia="en-GB"/>
              </w:rPr>
              <w:t>Public art</w:t>
            </w:r>
          </w:p>
          <w:p w14:paraId="6EDF85EE" w14:textId="5E438B43" w:rsidR="00852726" w:rsidRPr="0075589E" w:rsidRDefault="00852726" w:rsidP="00E44ACE">
            <w:pPr>
              <w:tabs>
                <w:tab w:val="left" w:pos="8789"/>
              </w:tabs>
              <w:jc w:val="both"/>
              <w:rPr>
                <w:rFonts w:eastAsia="Times New Roman"/>
                <w:color w:val="212529"/>
                <w:lang w:eastAsia="en-GB"/>
              </w:rPr>
            </w:pPr>
          </w:p>
        </w:tc>
        <w:tc>
          <w:tcPr>
            <w:tcW w:w="4508" w:type="dxa"/>
          </w:tcPr>
          <w:p w14:paraId="1021F84B" w14:textId="77777777" w:rsidR="00E44ACE" w:rsidRPr="00CC2D77" w:rsidRDefault="00E44ACE" w:rsidP="00E44ACE">
            <w:pPr>
              <w:tabs>
                <w:tab w:val="left" w:pos="8789"/>
              </w:tabs>
              <w:jc w:val="both"/>
              <w:rPr>
                <w:rFonts w:eastAsia="Times New Roman"/>
                <w:color w:val="212529"/>
                <w:highlight w:val="yellow"/>
                <w:lang w:eastAsia="en-GB"/>
              </w:rPr>
            </w:pPr>
          </w:p>
        </w:tc>
      </w:tr>
      <w:tr w:rsidR="00E44ACE" w:rsidRPr="00CC2D77" w14:paraId="0EE7064B" w14:textId="77777777" w:rsidTr="00E44ACE">
        <w:tc>
          <w:tcPr>
            <w:tcW w:w="4508" w:type="dxa"/>
          </w:tcPr>
          <w:p w14:paraId="7518C275" w14:textId="77777777" w:rsidR="00852726" w:rsidRPr="0075589E" w:rsidRDefault="00852726" w:rsidP="00E44ACE">
            <w:pPr>
              <w:tabs>
                <w:tab w:val="left" w:pos="8789"/>
              </w:tabs>
              <w:jc w:val="both"/>
              <w:rPr>
                <w:rFonts w:eastAsia="Times New Roman"/>
                <w:color w:val="212529"/>
                <w:lang w:eastAsia="en-GB"/>
              </w:rPr>
            </w:pPr>
          </w:p>
          <w:p w14:paraId="73D1A339" w14:textId="77777777" w:rsidR="00E44ACE" w:rsidRPr="0075589E" w:rsidRDefault="00E44ACE" w:rsidP="00E44ACE">
            <w:pPr>
              <w:tabs>
                <w:tab w:val="left" w:pos="8789"/>
              </w:tabs>
              <w:jc w:val="both"/>
              <w:rPr>
                <w:rFonts w:eastAsia="Times New Roman"/>
                <w:color w:val="212529"/>
                <w:lang w:eastAsia="en-GB"/>
              </w:rPr>
            </w:pPr>
            <w:r w:rsidRPr="0075589E">
              <w:rPr>
                <w:rFonts w:eastAsia="Times New Roman"/>
                <w:color w:val="212529"/>
                <w:lang w:eastAsia="en-GB"/>
              </w:rPr>
              <w:t>Air quality monitoring</w:t>
            </w:r>
          </w:p>
          <w:p w14:paraId="4ACACA03" w14:textId="1C501792" w:rsidR="00A86FCC" w:rsidRPr="0075589E" w:rsidRDefault="00A86FCC" w:rsidP="00E44ACE">
            <w:pPr>
              <w:tabs>
                <w:tab w:val="left" w:pos="8789"/>
              </w:tabs>
              <w:jc w:val="both"/>
              <w:rPr>
                <w:rFonts w:eastAsia="Times New Roman"/>
                <w:color w:val="212529"/>
                <w:lang w:eastAsia="en-GB"/>
              </w:rPr>
            </w:pPr>
          </w:p>
        </w:tc>
        <w:tc>
          <w:tcPr>
            <w:tcW w:w="4508" w:type="dxa"/>
          </w:tcPr>
          <w:p w14:paraId="60B4B094" w14:textId="77777777" w:rsidR="00E44ACE" w:rsidRPr="00CC2D77" w:rsidRDefault="00E44ACE" w:rsidP="00E44ACE">
            <w:pPr>
              <w:tabs>
                <w:tab w:val="left" w:pos="8789"/>
              </w:tabs>
              <w:jc w:val="both"/>
              <w:rPr>
                <w:rFonts w:eastAsia="Times New Roman"/>
                <w:color w:val="212529"/>
                <w:highlight w:val="yellow"/>
                <w:lang w:eastAsia="en-GB"/>
              </w:rPr>
            </w:pPr>
          </w:p>
        </w:tc>
      </w:tr>
      <w:tr w:rsidR="00E44ACE" w:rsidRPr="00CC2D77" w14:paraId="5BAA3D3D" w14:textId="77777777" w:rsidTr="00E44ACE">
        <w:tc>
          <w:tcPr>
            <w:tcW w:w="4508" w:type="dxa"/>
          </w:tcPr>
          <w:p w14:paraId="72612826" w14:textId="77777777" w:rsidR="00852726" w:rsidRPr="0075589E" w:rsidRDefault="00852726" w:rsidP="00E44ACE">
            <w:pPr>
              <w:tabs>
                <w:tab w:val="left" w:pos="8789"/>
              </w:tabs>
              <w:jc w:val="both"/>
              <w:rPr>
                <w:rFonts w:eastAsia="Times New Roman"/>
                <w:color w:val="212529"/>
                <w:lang w:eastAsia="en-GB"/>
              </w:rPr>
            </w:pPr>
          </w:p>
          <w:p w14:paraId="18D4C7E3" w14:textId="54B1B650" w:rsidR="00E44ACE" w:rsidRPr="0075589E" w:rsidRDefault="00E44ACE" w:rsidP="00E44ACE">
            <w:pPr>
              <w:tabs>
                <w:tab w:val="left" w:pos="8789"/>
              </w:tabs>
              <w:jc w:val="both"/>
              <w:rPr>
                <w:rFonts w:eastAsia="Times New Roman"/>
                <w:color w:val="212529"/>
                <w:lang w:eastAsia="en-GB"/>
              </w:rPr>
            </w:pPr>
            <w:r w:rsidRPr="0075589E">
              <w:rPr>
                <w:rFonts w:eastAsia="Times New Roman"/>
                <w:color w:val="212529"/>
                <w:lang w:eastAsia="en-GB"/>
              </w:rPr>
              <w:t>CCTV</w:t>
            </w:r>
          </w:p>
          <w:p w14:paraId="714F915E" w14:textId="144E3F08" w:rsidR="00852726" w:rsidRPr="0075589E" w:rsidRDefault="00852726" w:rsidP="00E44ACE">
            <w:pPr>
              <w:tabs>
                <w:tab w:val="left" w:pos="8789"/>
              </w:tabs>
              <w:jc w:val="both"/>
              <w:rPr>
                <w:rFonts w:eastAsia="Times New Roman"/>
                <w:color w:val="212529"/>
                <w:lang w:eastAsia="en-GB"/>
              </w:rPr>
            </w:pPr>
          </w:p>
        </w:tc>
        <w:tc>
          <w:tcPr>
            <w:tcW w:w="4508" w:type="dxa"/>
          </w:tcPr>
          <w:p w14:paraId="1488B591" w14:textId="77777777" w:rsidR="00E44ACE" w:rsidRPr="00CC2D77" w:rsidRDefault="00E44ACE" w:rsidP="00E44ACE">
            <w:pPr>
              <w:tabs>
                <w:tab w:val="left" w:pos="8789"/>
              </w:tabs>
              <w:jc w:val="both"/>
              <w:rPr>
                <w:rFonts w:eastAsia="Times New Roman"/>
                <w:color w:val="212529"/>
                <w:highlight w:val="yellow"/>
                <w:lang w:eastAsia="en-GB"/>
              </w:rPr>
            </w:pPr>
          </w:p>
        </w:tc>
      </w:tr>
      <w:tr w:rsidR="00E44ACE" w:rsidRPr="00CC2D77" w14:paraId="3286857C" w14:textId="77777777" w:rsidTr="00E44ACE">
        <w:tc>
          <w:tcPr>
            <w:tcW w:w="4508" w:type="dxa"/>
          </w:tcPr>
          <w:p w14:paraId="7A31BF01" w14:textId="77777777" w:rsidR="00852726" w:rsidRPr="0075589E" w:rsidRDefault="00852726" w:rsidP="00E44ACE">
            <w:pPr>
              <w:tabs>
                <w:tab w:val="left" w:pos="8789"/>
              </w:tabs>
              <w:jc w:val="both"/>
              <w:rPr>
                <w:rFonts w:eastAsia="Times New Roman"/>
                <w:color w:val="212529"/>
                <w:lang w:eastAsia="en-GB"/>
              </w:rPr>
            </w:pPr>
          </w:p>
          <w:p w14:paraId="0BC25254" w14:textId="77777777" w:rsidR="00E44ACE" w:rsidRPr="0075589E" w:rsidRDefault="00E44ACE" w:rsidP="00E44ACE">
            <w:pPr>
              <w:tabs>
                <w:tab w:val="left" w:pos="8789"/>
              </w:tabs>
              <w:jc w:val="both"/>
              <w:rPr>
                <w:rFonts w:eastAsia="Times New Roman"/>
                <w:color w:val="212529"/>
                <w:lang w:eastAsia="en-GB"/>
              </w:rPr>
            </w:pPr>
            <w:r w:rsidRPr="0075589E">
              <w:rPr>
                <w:rFonts w:eastAsia="Times New Roman"/>
                <w:color w:val="212529"/>
                <w:lang w:eastAsia="en-GB"/>
              </w:rPr>
              <w:t>‘Start-up’ business premises and training provision</w:t>
            </w:r>
          </w:p>
          <w:p w14:paraId="2CFC2487" w14:textId="61797675" w:rsidR="00852726" w:rsidRPr="0075589E" w:rsidRDefault="00852726" w:rsidP="00E44ACE">
            <w:pPr>
              <w:tabs>
                <w:tab w:val="left" w:pos="8789"/>
              </w:tabs>
              <w:jc w:val="both"/>
              <w:rPr>
                <w:rFonts w:eastAsia="Times New Roman"/>
                <w:color w:val="212529"/>
                <w:lang w:eastAsia="en-GB"/>
              </w:rPr>
            </w:pPr>
          </w:p>
        </w:tc>
        <w:tc>
          <w:tcPr>
            <w:tcW w:w="4508" w:type="dxa"/>
          </w:tcPr>
          <w:p w14:paraId="601220F0" w14:textId="77777777" w:rsidR="00E44ACE" w:rsidRPr="00CC2D77" w:rsidRDefault="00E44ACE" w:rsidP="00E44ACE">
            <w:pPr>
              <w:tabs>
                <w:tab w:val="left" w:pos="8789"/>
              </w:tabs>
              <w:jc w:val="both"/>
              <w:rPr>
                <w:rFonts w:eastAsia="Times New Roman"/>
                <w:color w:val="212529"/>
                <w:highlight w:val="yellow"/>
                <w:lang w:eastAsia="en-GB"/>
              </w:rPr>
            </w:pPr>
          </w:p>
        </w:tc>
      </w:tr>
      <w:tr w:rsidR="00852726" w:rsidRPr="00CC2D77" w14:paraId="3F9B188B" w14:textId="77777777" w:rsidTr="00E44ACE">
        <w:tc>
          <w:tcPr>
            <w:tcW w:w="4508" w:type="dxa"/>
          </w:tcPr>
          <w:p w14:paraId="7521FC84" w14:textId="77777777" w:rsidR="00852726" w:rsidRPr="0075589E" w:rsidRDefault="00852726" w:rsidP="00E44ACE">
            <w:pPr>
              <w:tabs>
                <w:tab w:val="left" w:pos="8789"/>
              </w:tabs>
              <w:jc w:val="both"/>
              <w:rPr>
                <w:rFonts w:eastAsia="Times New Roman"/>
                <w:color w:val="212529"/>
                <w:lang w:eastAsia="en-GB"/>
              </w:rPr>
            </w:pPr>
          </w:p>
          <w:p w14:paraId="63023B55" w14:textId="77777777" w:rsidR="00852726" w:rsidRPr="0075589E" w:rsidRDefault="00852726" w:rsidP="00E44ACE">
            <w:pPr>
              <w:tabs>
                <w:tab w:val="left" w:pos="8789"/>
              </w:tabs>
              <w:jc w:val="both"/>
              <w:rPr>
                <w:rFonts w:eastAsia="Times New Roman"/>
                <w:color w:val="212529"/>
                <w:lang w:eastAsia="en-GB"/>
              </w:rPr>
            </w:pPr>
            <w:r w:rsidRPr="0075589E">
              <w:rPr>
                <w:rFonts w:eastAsia="Times New Roman"/>
                <w:color w:val="212529"/>
                <w:lang w:eastAsia="en-GB"/>
              </w:rPr>
              <w:t>Environmental improvements</w:t>
            </w:r>
          </w:p>
          <w:p w14:paraId="4AA189C1" w14:textId="33E13D87" w:rsidR="00852726" w:rsidRPr="0075589E" w:rsidRDefault="00852726" w:rsidP="00E44ACE">
            <w:pPr>
              <w:tabs>
                <w:tab w:val="left" w:pos="8789"/>
              </w:tabs>
              <w:jc w:val="both"/>
              <w:rPr>
                <w:rFonts w:eastAsia="Times New Roman"/>
                <w:color w:val="212529"/>
                <w:lang w:eastAsia="en-GB"/>
              </w:rPr>
            </w:pPr>
          </w:p>
        </w:tc>
        <w:tc>
          <w:tcPr>
            <w:tcW w:w="4508" w:type="dxa"/>
          </w:tcPr>
          <w:p w14:paraId="322E91C6" w14:textId="77777777" w:rsidR="00852726" w:rsidRPr="00CC2D77" w:rsidRDefault="00852726" w:rsidP="00E44ACE">
            <w:pPr>
              <w:tabs>
                <w:tab w:val="left" w:pos="8789"/>
              </w:tabs>
              <w:jc w:val="both"/>
              <w:rPr>
                <w:rFonts w:eastAsia="Times New Roman"/>
                <w:color w:val="212529"/>
                <w:highlight w:val="yellow"/>
                <w:lang w:eastAsia="en-GB"/>
              </w:rPr>
            </w:pPr>
          </w:p>
        </w:tc>
      </w:tr>
    </w:tbl>
    <w:p w14:paraId="5F024762" w14:textId="2C624A0A" w:rsidR="00555958" w:rsidRPr="0075589E" w:rsidRDefault="00555958" w:rsidP="2934EBA0">
      <w:pPr>
        <w:shd w:val="clear" w:color="auto" w:fill="FFFFFF" w:themeFill="background1"/>
        <w:tabs>
          <w:tab w:val="left" w:pos="8789"/>
        </w:tabs>
        <w:spacing w:after="0" w:line="240" w:lineRule="auto"/>
        <w:rPr>
          <w:rFonts w:eastAsia="Times New Roman"/>
          <w:color w:val="212529"/>
          <w:lang w:eastAsia="en-GB"/>
        </w:rPr>
      </w:pPr>
      <w:r w:rsidRPr="2934EBA0">
        <w:rPr>
          <w:rFonts w:eastAsia="Times New Roman"/>
          <w:color w:val="212529"/>
          <w:lang w:eastAsia="en-GB"/>
        </w:rPr>
        <w:t xml:space="preserve">* Revenue costs </w:t>
      </w:r>
      <w:r w:rsidR="00EC5B22" w:rsidRPr="2934EBA0">
        <w:rPr>
          <w:rFonts w:eastAsia="Times New Roman"/>
          <w:color w:val="212529"/>
          <w:lang w:eastAsia="en-GB"/>
        </w:rPr>
        <w:t xml:space="preserve">(annual maintenance, staffing of community buildings, staffing of health facilities, bus operator costs) are funded separately usually through various (often public sector) budgeting processes (Council tax, NHS per capita budget formulae, parish receipts, bus fare income). </w:t>
      </w:r>
    </w:p>
    <w:p w14:paraId="51BF39E6" w14:textId="4FA317CD" w:rsidR="00BF4F5D" w:rsidRPr="0075589E" w:rsidRDefault="00BF4F5D" w:rsidP="2934EBA0">
      <w:pPr>
        <w:shd w:val="clear" w:color="auto" w:fill="FFFFFF" w:themeFill="background1"/>
        <w:tabs>
          <w:tab w:val="left" w:pos="8789"/>
        </w:tabs>
        <w:spacing w:after="0" w:line="240" w:lineRule="auto"/>
        <w:rPr>
          <w:rFonts w:eastAsia="Times New Roman"/>
          <w:color w:val="212529"/>
          <w:lang w:eastAsia="en-GB"/>
        </w:rPr>
      </w:pPr>
      <w:r w:rsidRPr="2934EBA0">
        <w:rPr>
          <w:rFonts w:eastAsia="Times New Roman"/>
          <w:color w:val="212529"/>
          <w:lang w:eastAsia="en-GB"/>
        </w:rPr>
        <w:t xml:space="preserve">* Eastleigh Borough Council often requires facilities from development via </w:t>
      </w:r>
      <w:r w:rsidR="00E55F64" w:rsidRPr="2934EBA0">
        <w:rPr>
          <w:rFonts w:eastAsia="Times New Roman"/>
          <w:color w:val="212529"/>
          <w:lang w:eastAsia="en-GB"/>
        </w:rPr>
        <w:t>planning obligations</w:t>
      </w:r>
      <w:r w:rsidRPr="2934EBA0">
        <w:rPr>
          <w:rFonts w:eastAsia="Times New Roman"/>
          <w:color w:val="212529"/>
          <w:lang w:eastAsia="en-GB"/>
        </w:rPr>
        <w:t xml:space="preserve"> for which it is not responsible for providing (e.g. library provision which Hampshire County Council provides as a service). </w:t>
      </w:r>
    </w:p>
    <w:p w14:paraId="4194F608" w14:textId="77777777" w:rsidR="00BF4F5D" w:rsidRPr="0075589E" w:rsidRDefault="00BF4F5D" w:rsidP="2934EBA0">
      <w:pPr>
        <w:shd w:val="clear" w:color="auto" w:fill="FFFFFF" w:themeFill="background1"/>
        <w:tabs>
          <w:tab w:val="left" w:pos="8789"/>
        </w:tabs>
        <w:spacing w:after="0" w:line="240" w:lineRule="auto"/>
        <w:rPr>
          <w:rFonts w:eastAsia="Times New Roman"/>
          <w:color w:val="212529"/>
          <w:lang w:eastAsia="en-GB"/>
        </w:rPr>
      </w:pPr>
    </w:p>
    <w:p w14:paraId="6FDD0837" w14:textId="6B63EF5C" w:rsidR="00F315B7" w:rsidRPr="0075589E" w:rsidRDefault="00F315B7" w:rsidP="2934EBA0">
      <w:pPr>
        <w:shd w:val="clear" w:color="auto" w:fill="FFFFFF" w:themeFill="background1"/>
        <w:tabs>
          <w:tab w:val="left" w:pos="8789"/>
        </w:tabs>
        <w:spacing w:after="0" w:line="240" w:lineRule="auto"/>
        <w:jc w:val="both"/>
        <w:rPr>
          <w:rFonts w:eastAsia="Times New Roman"/>
          <w:color w:val="212529"/>
          <w:lang w:eastAsia="en-GB"/>
        </w:rPr>
      </w:pPr>
    </w:p>
    <w:p w14:paraId="0E091BEE" w14:textId="3959C0A6" w:rsidR="001A3AB8" w:rsidRPr="00BB3089" w:rsidRDefault="008263FC" w:rsidP="00A86FCC">
      <w:pPr>
        <w:pStyle w:val="Style2"/>
        <w:rPr>
          <w:sz w:val="24"/>
          <w:szCs w:val="24"/>
        </w:rPr>
      </w:pPr>
      <w:bookmarkStart w:id="16" w:name="_Toc61851456"/>
      <w:bookmarkStart w:id="17" w:name="_Toc62139445"/>
      <w:bookmarkStart w:id="18" w:name="_Toc179280788"/>
      <w:r w:rsidRPr="2934EBA0">
        <w:rPr>
          <w:sz w:val="24"/>
          <w:szCs w:val="24"/>
        </w:rPr>
        <w:t xml:space="preserve">Eastleigh Borough Council’s Approach to Securing </w:t>
      </w:r>
      <w:r w:rsidR="00494890" w:rsidRPr="2934EBA0">
        <w:rPr>
          <w:sz w:val="24"/>
          <w:szCs w:val="24"/>
        </w:rPr>
        <w:t xml:space="preserve">Planning </w:t>
      </w:r>
      <w:r w:rsidRPr="2934EBA0">
        <w:rPr>
          <w:sz w:val="24"/>
          <w:szCs w:val="24"/>
        </w:rPr>
        <w:t>Contributions</w:t>
      </w:r>
      <w:bookmarkEnd w:id="16"/>
      <w:bookmarkEnd w:id="17"/>
      <w:bookmarkEnd w:id="18"/>
      <w:r w:rsidRPr="2934EBA0">
        <w:rPr>
          <w:sz w:val="24"/>
          <w:szCs w:val="24"/>
        </w:rPr>
        <w:t xml:space="preserve"> </w:t>
      </w:r>
    </w:p>
    <w:p w14:paraId="65CED7AE" w14:textId="47171111" w:rsidR="003E2534" w:rsidRDefault="00BF4BA5" w:rsidP="003E2534">
      <w:pPr>
        <w:pStyle w:val="ListParagraph"/>
        <w:numPr>
          <w:ilvl w:val="0"/>
          <w:numId w:val="46"/>
        </w:numPr>
        <w:shd w:val="clear" w:color="auto" w:fill="FFFFFF" w:themeFill="background1"/>
        <w:tabs>
          <w:tab w:val="left" w:pos="8789"/>
        </w:tabs>
        <w:spacing w:after="100" w:afterAutospacing="1" w:line="240" w:lineRule="auto"/>
        <w:ind w:hanging="720"/>
        <w:rPr>
          <w:rFonts w:eastAsia="Times New Roman"/>
          <w:color w:val="212529"/>
          <w:lang w:eastAsia="en-GB"/>
        </w:rPr>
      </w:pPr>
      <w:r w:rsidRPr="004F7109">
        <w:rPr>
          <w:rFonts w:eastAsia="Times New Roman"/>
          <w:color w:val="212529"/>
          <w:lang w:eastAsia="en-GB"/>
        </w:rPr>
        <w:t xml:space="preserve">The </w:t>
      </w:r>
      <w:r w:rsidR="00B61BA5" w:rsidRPr="004F7109">
        <w:rPr>
          <w:rFonts w:eastAsia="Times New Roman"/>
          <w:color w:val="212529"/>
          <w:lang w:eastAsia="en-GB"/>
        </w:rPr>
        <w:t>Council</w:t>
      </w:r>
      <w:r w:rsidR="001A3AB8" w:rsidRPr="004F7109">
        <w:rPr>
          <w:rFonts w:eastAsia="Times New Roman"/>
          <w:color w:val="212529"/>
          <w:lang w:eastAsia="en-GB"/>
        </w:rPr>
        <w:t xml:space="preserve"> generally secure</w:t>
      </w:r>
      <w:r w:rsidR="00B61BA5" w:rsidRPr="004F7109">
        <w:rPr>
          <w:rFonts w:eastAsia="Times New Roman"/>
          <w:color w:val="212529"/>
          <w:lang w:eastAsia="en-GB"/>
        </w:rPr>
        <w:t>s funding for on-site and off-site infrastructure</w:t>
      </w:r>
      <w:r w:rsidR="001A3AB8" w:rsidRPr="004F7109">
        <w:rPr>
          <w:rFonts w:eastAsia="Times New Roman"/>
          <w:color w:val="212529"/>
          <w:lang w:eastAsia="en-GB"/>
        </w:rPr>
        <w:t xml:space="preserve"> through </w:t>
      </w:r>
      <w:r w:rsidR="00047DA4" w:rsidRPr="004F7109">
        <w:rPr>
          <w:rFonts w:eastAsia="Times New Roman"/>
          <w:color w:val="212529"/>
          <w:lang w:eastAsia="en-GB"/>
        </w:rPr>
        <w:t>S106 agreements and unilateral undertakings pursuant to Section 106 of the town and Country Planning Act 1990</w:t>
      </w:r>
      <w:r w:rsidRPr="004F7109">
        <w:rPr>
          <w:rFonts w:eastAsia="Times New Roman"/>
          <w:color w:val="212529"/>
          <w:lang w:eastAsia="en-GB"/>
        </w:rPr>
        <w:t xml:space="preserve">. The Council also secures </w:t>
      </w:r>
      <w:r w:rsidR="004732A8" w:rsidRPr="004F7109">
        <w:rPr>
          <w:rFonts w:eastAsia="Times New Roman"/>
          <w:color w:val="212529"/>
          <w:lang w:eastAsia="en-GB"/>
        </w:rPr>
        <w:t>the</w:t>
      </w:r>
      <w:r w:rsidRPr="004F7109">
        <w:rPr>
          <w:rFonts w:eastAsia="Times New Roman"/>
          <w:color w:val="212529"/>
          <w:lang w:eastAsia="en-GB"/>
        </w:rPr>
        <w:t xml:space="preserve"> provision of on-site and off-site infrastructure through </w:t>
      </w:r>
      <w:r w:rsidR="00047DA4" w:rsidRPr="004F7109">
        <w:rPr>
          <w:rFonts w:eastAsia="Times New Roman"/>
          <w:color w:val="212529"/>
          <w:lang w:eastAsia="en-GB"/>
        </w:rPr>
        <w:t>upfront payments made by developers</w:t>
      </w:r>
      <w:r w:rsidRPr="004F7109">
        <w:rPr>
          <w:rFonts w:eastAsia="Times New Roman"/>
          <w:color w:val="212529"/>
          <w:lang w:eastAsia="en-GB"/>
        </w:rPr>
        <w:t xml:space="preserve">. </w:t>
      </w:r>
      <w:r w:rsidR="00BC0A92" w:rsidRPr="004F7109">
        <w:rPr>
          <w:rFonts w:eastAsia="Times New Roman"/>
          <w:color w:val="212529"/>
          <w:lang w:eastAsia="en-GB"/>
        </w:rPr>
        <w:t xml:space="preserve">Further information on these methods for securing developer contributions can be found on the Council’s </w:t>
      </w:r>
      <w:hyperlink r:id="rId14">
        <w:r w:rsidR="00BC0A92" w:rsidRPr="003E2534">
          <w:rPr>
            <w:rStyle w:val="Hyperlink"/>
            <w:color w:val="0000FF"/>
          </w:rPr>
          <w:t>Planning Obligations</w:t>
        </w:r>
      </w:hyperlink>
      <w:r w:rsidR="00BC0A92" w:rsidRPr="2934EBA0">
        <w:rPr>
          <w:rFonts w:eastAsia="Times New Roman"/>
          <w:color w:val="212529"/>
          <w:lang w:eastAsia="en-GB"/>
        </w:rPr>
        <w:t xml:space="preserve"> </w:t>
      </w:r>
      <w:r w:rsidR="00BC0A92" w:rsidRPr="004F7109">
        <w:rPr>
          <w:rFonts w:eastAsia="Times New Roman"/>
          <w:color w:val="212529"/>
          <w:lang w:eastAsia="en-GB"/>
        </w:rPr>
        <w:t>webpage.</w:t>
      </w:r>
    </w:p>
    <w:p w14:paraId="1B09650F" w14:textId="77777777" w:rsidR="005C7D8B" w:rsidRDefault="005C7D8B" w:rsidP="005C7D8B">
      <w:pPr>
        <w:pStyle w:val="ListParagraph"/>
        <w:shd w:val="clear" w:color="auto" w:fill="FFFFFF" w:themeFill="background1"/>
        <w:tabs>
          <w:tab w:val="left" w:pos="8789"/>
        </w:tabs>
        <w:spacing w:after="100" w:afterAutospacing="1" w:line="240" w:lineRule="auto"/>
        <w:rPr>
          <w:rFonts w:eastAsia="Times New Roman"/>
          <w:color w:val="212529"/>
          <w:lang w:eastAsia="en-GB"/>
        </w:rPr>
      </w:pPr>
    </w:p>
    <w:p w14:paraId="75DB39A9" w14:textId="2A81FA5D" w:rsidR="003E2534" w:rsidRPr="007E4C67" w:rsidRDefault="007E4C67" w:rsidP="007E4C67">
      <w:pPr>
        <w:pStyle w:val="ListParagraph"/>
        <w:numPr>
          <w:ilvl w:val="0"/>
          <w:numId w:val="46"/>
        </w:numPr>
        <w:shd w:val="clear" w:color="auto" w:fill="FFFFFF" w:themeFill="background1"/>
        <w:tabs>
          <w:tab w:val="left" w:pos="8789"/>
        </w:tabs>
        <w:spacing w:after="100" w:afterAutospacing="1" w:line="240" w:lineRule="auto"/>
        <w:ind w:hanging="720"/>
        <w:rPr>
          <w:rFonts w:eastAsia="Times New Roman"/>
          <w:color w:val="212529"/>
          <w:lang w:eastAsia="en-GB"/>
        </w:rPr>
      </w:pPr>
      <w:r>
        <w:rPr>
          <w:rFonts w:eastAsia="Times New Roman"/>
          <w:color w:val="212529"/>
          <w:lang w:eastAsia="en-GB"/>
        </w:rPr>
        <w:t xml:space="preserve">The </w:t>
      </w:r>
      <w:r w:rsidR="003E2534">
        <w:t xml:space="preserve">Council secures developer contributions as a result of planning obligations entered into following the granting of planning permission or resolutions to grant planning permission through its </w:t>
      </w:r>
      <w:hyperlink r:id="rId15">
        <w:r w:rsidR="003E2534" w:rsidRPr="007E4C67">
          <w:rPr>
            <w:color w:val="0000FF"/>
            <w:u w:val="single"/>
          </w:rPr>
          <w:t>Local Area Committee</w:t>
        </w:r>
      </w:hyperlink>
      <w:r w:rsidR="003E2534">
        <w:t xml:space="preserve"> structure of governance. The Council is planning to review the </w:t>
      </w:r>
      <w:hyperlink r:id="rId16">
        <w:r w:rsidR="003E2534" w:rsidRPr="007E4C67">
          <w:rPr>
            <w:color w:val="0000FF"/>
            <w:u w:val="single"/>
          </w:rPr>
          <w:t>Planning Obligations SPD (July 2008)</w:t>
        </w:r>
      </w:hyperlink>
      <w:r w:rsidR="003E2534">
        <w:t xml:space="preserve"> following the adoption of the Eastleigh Borough Local Plan (2016-2036) in order to ensure it is fully effective for delivering the infrastructure that is needed to support the new development and growth that is proposed across the Borough. This will enable the Council to maximise the opportunities available for collecting contributions from new development for a wide range of supporting infrastructure</w:t>
      </w:r>
      <w:r w:rsidR="004F7109">
        <w:t>.</w:t>
      </w:r>
    </w:p>
    <w:p w14:paraId="61153323" w14:textId="102584F6" w:rsidR="00B44226" w:rsidRPr="001A4962" w:rsidRDefault="004D3BAF" w:rsidP="001A4962">
      <w:pPr>
        <w:pStyle w:val="Style2"/>
        <w:rPr>
          <w:sz w:val="24"/>
          <w:szCs w:val="24"/>
        </w:rPr>
      </w:pPr>
      <w:bookmarkStart w:id="19" w:name="_Toc61851457"/>
      <w:bookmarkStart w:id="20" w:name="_Toc62139446"/>
      <w:bookmarkStart w:id="21" w:name="_Toc96957087"/>
      <w:bookmarkStart w:id="22" w:name="_Toc179280789"/>
      <w:r w:rsidRPr="2934EBA0">
        <w:rPr>
          <w:sz w:val="24"/>
          <w:szCs w:val="24"/>
        </w:rPr>
        <w:t>M</w:t>
      </w:r>
      <w:r w:rsidR="00652C7B" w:rsidRPr="2934EBA0">
        <w:rPr>
          <w:sz w:val="24"/>
          <w:szCs w:val="24"/>
        </w:rPr>
        <w:t xml:space="preserve">itigating </w:t>
      </w:r>
      <w:r w:rsidRPr="2934EBA0">
        <w:rPr>
          <w:sz w:val="24"/>
          <w:szCs w:val="24"/>
        </w:rPr>
        <w:t>W</w:t>
      </w:r>
      <w:r w:rsidR="00652C7B" w:rsidRPr="2934EBA0">
        <w:rPr>
          <w:sz w:val="24"/>
          <w:szCs w:val="24"/>
        </w:rPr>
        <w:t xml:space="preserve">ider </w:t>
      </w:r>
      <w:r w:rsidRPr="2934EBA0">
        <w:rPr>
          <w:sz w:val="24"/>
          <w:szCs w:val="24"/>
        </w:rPr>
        <w:t>S</w:t>
      </w:r>
      <w:r w:rsidR="00652C7B" w:rsidRPr="2934EBA0">
        <w:rPr>
          <w:sz w:val="24"/>
          <w:szCs w:val="24"/>
        </w:rPr>
        <w:t>ub-</w:t>
      </w:r>
      <w:r w:rsidRPr="2934EBA0">
        <w:rPr>
          <w:sz w:val="24"/>
          <w:szCs w:val="24"/>
        </w:rPr>
        <w:t>R</w:t>
      </w:r>
      <w:r w:rsidR="00652C7B" w:rsidRPr="2934EBA0">
        <w:rPr>
          <w:sz w:val="24"/>
          <w:szCs w:val="24"/>
        </w:rPr>
        <w:t xml:space="preserve">egional </w:t>
      </w:r>
      <w:r w:rsidRPr="2934EBA0">
        <w:rPr>
          <w:sz w:val="24"/>
          <w:szCs w:val="24"/>
        </w:rPr>
        <w:t>D</w:t>
      </w:r>
      <w:r w:rsidR="00652C7B" w:rsidRPr="2934EBA0">
        <w:rPr>
          <w:sz w:val="24"/>
          <w:szCs w:val="24"/>
        </w:rPr>
        <w:t xml:space="preserve">evelopment </w:t>
      </w:r>
      <w:r w:rsidRPr="2934EBA0">
        <w:rPr>
          <w:sz w:val="24"/>
          <w:szCs w:val="24"/>
        </w:rPr>
        <w:t>I</w:t>
      </w:r>
      <w:r w:rsidR="00652C7B" w:rsidRPr="2934EBA0">
        <w:rPr>
          <w:sz w:val="24"/>
          <w:szCs w:val="24"/>
        </w:rPr>
        <w:t>mpacts</w:t>
      </w:r>
      <w:bookmarkEnd w:id="19"/>
      <w:bookmarkEnd w:id="20"/>
      <w:bookmarkEnd w:id="21"/>
      <w:bookmarkEnd w:id="22"/>
    </w:p>
    <w:p w14:paraId="46DA3246" w14:textId="3501CE5E" w:rsidR="00DE15B4" w:rsidRPr="00343EC6" w:rsidRDefault="00D64952" w:rsidP="005C7D8B">
      <w:pPr>
        <w:pStyle w:val="ListParagraph"/>
        <w:numPr>
          <w:ilvl w:val="0"/>
          <w:numId w:val="46"/>
        </w:numPr>
        <w:ind w:hanging="720"/>
        <w:rPr>
          <w:b/>
        </w:rPr>
      </w:pPr>
      <w:r w:rsidRPr="00E70529">
        <w:t xml:space="preserve">In order to address the potential impacts of development </w:t>
      </w:r>
      <w:r w:rsidR="006C6938" w:rsidRPr="00E70529">
        <w:t xml:space="preserve">proposed through the adopted Eastleigh Local Plan 2016-2036 </w:t>
      </w:r>
      <w:r w:rsidRPr="00E70529">
        <w:t xml:space="preserve">on internationally protected nature conservation sites, some of the </w:t>
      </w:r>
      <w:r w:rsidR="00C46614" w:rsidRPr="00E70529">
        <w:t xml:space="preserve">developer </w:t>
      </w:r>
      <w:r w:rsidRPr="00E70529">
        <w:t xml:space="preserve">contributions collected by the </w:t>
      </w:r>
      <w:r w:rsidR="003F14CB" w:rsidRPr="00E70529">
        <w:t xml:space="preserve">Council </w:t>
      </w:r>
      <w:r w:rsidRPr="00E70529">
        <w:t>will help fund strategic projects that cover a larger area. These include</w:t>
      </w:r>
      <w:r w:rsidR="00DE15B4" w:rsidRPr="005C7D8B">
        <w:rPr>
          <w:b/>
          <w:bCs/>
        </w:rPr>
        <w:t>:</w:t>
      </w:r>
    </w:p>
    <w:p w14:paraId="140DD43F" w14:textId="183B74FE" w:rsidR="00DE15B4" w:rsidRPr="00343EC6" w:rsidRDefault="00E53E2C" w:rsidP="005C7D8B">
      <w:pPr>
        <w:pStyle w:val="ListParagraph"/>
        <w:numPr>
          <w:ilvl w:val="0"/>
          <w:numId w:val="60"/>
        </w:numPr>
      </w:pPr>
      <w:hyperlink r:id="rId17">
        <w:r w:rsidRPr="2934EBA0">
          <w:t>Bird Aware Solent</w:t>
        </w:r>
      </w:hyperlink>
      <w:r w:rsidR="00D64952" w:rsidRPr="00E70529">
        <w:t xml:space="preserve">, addressing the issue of bird disturbance across the Solent </w:t>
      </w:r>
    </w:p>
    <w:p w14:paraId="77A97179" w14:textId="265BE3A8" w:rsidR="004563B9" w:rsidRPr="00343EC6" w:rsidRDefault="00DE15B4" w:rsidP="005C7D8B">
      <w:pPr>
        <w:pStyle w:val="ListParagraph"/>
        <w:numPr>
          <w:ilvl w:val="0"/>
          <w:numId w:val="60"/>
        </w:numPr>
      </w:pPr>
      <w:r w:rsidRPr="00E70529">
        <w:t>New Forest</w:t>
      </w:r>
      <w:r w:rsidR="004563B9" w:rsidRPr="005C7D8B">
        <w:rPr>
          <w:b/>
          <w:bCs/>
        </w:rPr>
        <w:t xml:space="preserve"> </w:t>
      </w:r>
      <w:r w:rsidR="00D64952" w:rsidRPr="00E70529">
        <w:t>contributions to address</w:t>
      </w:r>
      <w:r w:rsidR="00FD6F8A" w:rsidRPr="00E70529">
        <w:t xml:space="preserve"> recreational</w:t>
      </w:r>
      <w:r w:rsidR="00D64952" w:rsidRPr="00E70529">
        <w:t xml:space="preserve"> disturbance </w:t>
      </w:r>
    </w:p>
    <w:p w14:paraId="38D0BFF2" w14:textId="6BA20815" w:rsidR="00D64952" w:rsidRPr="00343EC6" w:rsidRDefault="00FD6F8A" w:rsidP="005C7D8B">
      <w:pPr>
        <w:pStyle w:val="ListParagraph"/>
        <w:numPr>
          <w:ilvl w:val="0"/>
          <w:numId w:val="60"/>
        </w:numPr>
      </w:pPr>
      <w:r w:rsidRPr="00E70529">
        <w:t>nutrient neutrality contributions to compensate for nitrates and/or phosphates from developments harming sensitive European designated sites</w:t>
      </w:r>
      <w:r w:rsidR="00D64952" w:rsidRPr="00E70529">
        <w:t xml:space="preserve">. </w:t>
      </w:r>
    </w:p>
    <w:p w14:paraId="05AF888D" w14:textId="0545548A" w:rsidR="00B44226" w:rsidRPr="003B6BD6" w:rsidRDefault="00B44226" w:rsidP="00906183">
      <w:pPr>
        <w:jc w:val="both"/>
        <w:rPr>
          <w:u w:val="single"/>
        </w:rPr>
      </w:pPr>
      <w:r w:rsidRPr="2934EBA0">
        <w:rPr>
          <w:u w:val="single"/>
        </w:rPr>
        <w:t>Bird Aware</w:t>
      </w:r>
      <w:r w:rsidR="003F14CB" w:rsidRPr="2934EBA0">
        <w:rPr>
          <w:u w:val="single"/>
        </w:rPr>
        <w:t xml:space="preserve"> Solent</w:t>
      </w:r>
    </w:p>
    <w:p w14:paraId="7D659765" w14:textId="2F2BE27A" w:rsidR="00B44226" w:rsidRDefault="00B44226" w:rsidP="007A00F7">
      <w:pPr>
        <w:pStyle w:val="ListParagraph"/>
        <w:numPr>
          <w:ilvl w:val="0"/>
          <w:numId w:val="46"/>
        </w:numPr>
        <w:ind w:hanging="720"/>
      </w:pPr>
      <w:r>
        <w:t xml:space="preserve">Some of the Council’s </w:t>
      </w:r>
      <w:r w:rsidR="00F70A54">
        <w:t xml:space="preserve">developer </w:t>
      </w:r>
      <w:r>
        <w:t xml:space="preserve">contributions are spent on </w:t>
      </w:r>
      <w:r w:rsidR="00CF4185">
        <w:t>mitigation measures set out in the Bird Aware Solent Strategy</w:t>
      </w:r>
      <w:r w:rsidR="00B604FA" w:rsidRPr="00B604FA">
        <w:t xml:space="preserve"> </w:t>
      </w:r>
      <w:r w:rsidR="00B604FA">
        <w:t>(</w:t>
      </w:r>
      <w:hyperlink r:id="rId18" w:history="1">
        <w:r w:rsidR="00B604FA" w:rsidRPr="00F15908">
          <w:rPr>
            <w:rStyle w:val="Hyperlink"/>
          </w:rPr>
          <w:t>Home - Bird Aware Solent</w:t>
        </w:r>
      </w:hyperlink>
      <w:r w:rsidR="00CF4185">
        <w:t xml:space="preserve">. </w:t>
      </w:r>
      <w:r w:rsidR="00B604FA">
        <w:t xml:space="preserve">) </w:t>
      </w:r>
      <w:r w:rsidR="00CF4185">
        <w:t xml:space="preserve"> </w:t>
      </w:r>
      <w:r w:rsidR="00D64952">
        <w:t xml:space="preserve">Contributions are collected from developments within 5.6km to the coast. </w:t>
      </w:r>
      <w:r w:rsidR="00CF4185">
        <w:t xml:space="preserve">Bird Aware Solent is </w:t>
      </w:r>
      <w:r>
        <w:t xml:space="preserve">the public facing body of the Solent </w:t>
      </w:r>
      <w:r w:rsidR="00FC1A53">
        <w:t>Recreation Mitigation Partnership</w:t>
      </w:r>
      <w:r>
        <w:t xml:space="preserve"> (S</w:t>
      </w:r>
      <w:r w:rsidR="00FC1A53">
        <w:t>R</w:t>
      </w:r>
      <w:r>
        <w:t>MP)</w:t>
      </w:r>
      <w:r w:rsidR="00CF4185">
        <w:t xml:space="preserve"> and</w:t>
      </w:r>
      <w:r>
        <w:t xml:space="preserve"> operates across fifteen local authority areas</w:t>
      </w:r>
      <w:r w:rsidR="00CF4185">
        <w:t xml:space="preserve">. This includes </w:t>
      </w:r>
      <w:r>
        <w:t xml:space="preserve">Eastleigh Borough Council, along with Natural England, the Royal Society for the Protection of Birds, Hampshire &amp; Isle of Wight Wildlife Trust and the Chichester Harbour Conservancy. </w:t>
      </w:r>
      <w:r w:rsidR="007E5A5D">
        <w:t xml:space="preserve">Section </w:t>
      </w:r>
      <w:r w:rsidR="00583C2B" w:rsidRPr="00900861">
        <w:t>4</w:t>
      </w:r>
      <w:r w:rsidR="007E5A5D">
        <w:t xml:space="preserve"> provides d</w:t>
      </w:r>
      <w:r>
        <w:t>etails of the funding which Eastleigh Borough Council has c</w:t>
      </w:r>
      <w:r w:rsidR="00652C7B">
        <w:t>ollected</w:t>
      </w:r>
      <w:r>
        <w:t xml:space="preserve"> towards projects initiated by Bird Aware</w:t>
      </w:r>
      <w:r w:rsidR="007D06F1">
        <w:t xml:space="preserve"> Solent</w:t>
      </w:r>
      <w:r>
        <w:t xml:space="preserve">. </w:t>
      </w:r>
      <w:r w:rsidR="00585051">
        <w:t xml:space="preserve">Contributions are transferred quarterly to the </w:t>
      </w:r>
      <w:r w:rsidR="00A60C87">
        <w:t>partnership, where they are pooled to implement miti</w:t>
      </w:r>
      <w:r w:rsidR="006C4DEA">
        <w:t>g</w:t>
      </w:r>
      <w:r w:rsidR="00A60C87">
        <w:t xml:space="preserve">ation measures.  </w:t>
      </w:r>
      <w:r w:rsidR="00D64952">
        <w:t>Key outputs include the provision of rangers to visit sites across the Solent, including along the Eastleigh borough coastline, positive communication and education methods and site</w:t>
      </w:r>
      <w:r w:rsidR="00652C7B">
        <w:t>-</w:t>
      </w:r>
      <w:r w:rsidR="00D64952">
        <w:t>specific projects.</w:t>
      </w:r>
      <w:r w:rsidR="003164B1">
        <w:t xml:space="preserve"> </w:t>
      </w:r>
      <w:r w:rsidR="003F14CB">
        <w:t>The Council is also using this funding to</w:t>
      </w:r>
      <w:r w:rsidR="00D64952">
        <w:t xml:space="preserve"> </w:t>
      </w:r>
      <w:r w:rsidR="003F14CB">
        <w:t>enhance inland sites within Eastleigh Borough</w:t>
      </w:r>
      <w:r w:rsidR="00D64952">
        <w:t xml:space="preserve"> </w:t>
      </w:r>
      <w:r w:rsidR="003F14CB">
        <w:t xml:space="preserve">to attract people away from the </w:t>
      </w:r>
      <w:r w:rsidR="003F14CB" w:rsidRPr="00ED760A">
        <w:t>sensitive shoreline areas.</w:t>
      </w:r>
      <w:r w:rsidR="009A4361" w:rsidRPr="00ED760A">
        <w:t xml:space="preserve"> </w:t>
      </w:r>
      <w:r w:rsidR="00391000" w:rsidRPr="00ED760A">
        <w:t>For example, a Bird Aware project has been approved which will result in access improvements at Itchen Valley Country Park.</w:t>
      </w:r>
      <w:r w:rsidR="00391000">
        <w:t xml:space="preserve"> </w:t>
      </w:r>
    </w:p>
    <w:p w14:paraId="55A1F272" w14:textId="77777777" w:rsidR="00201135" w:rsidRPr="003B6BD6" w:rsidRDefault="00201135" w:rsidP="00201135">
      <w:pPr>
        <w:pStyle w:val="ListParagraph"/>
        <w:ind w:left="0"/>
      </w:pPr>
    </w:p>
    <w:p w14:paraId="1A4E8F67" w14:textId="6C9D293F" w:rsidR="00B44226" w:rsidRPr="003B6BD6" w:rsidRDefault="00B44226" w:rsidP="00357DDB">
      <w:pPr>
        <w:tabs>
          <w:tab w:val="left" w:pos="5341"/>
          <w:tab w:val="left" w:pos="7686"/>
        </w:tabs>
        <w:jc w:val="both"/>
        <w:rPr>
          <w:u w:val="single"/>
        </w:rPr>
      </w:pPr>
      <w:r w:rsidRPr="2934EBA0">
        <w:rPr>
          <w:u w:val="single"/>
        </w:rPr>
        <w:t xml:space="preserve">The New Forest </w:t>
      </w:r>
      <w:r w:rsidR="00D54FB0" w:rsidRPr="2934EBA0">
        <w:rPr>
          <w:u w:val="single"/>
        </w:rPr>
        <w:t>mitigation</w:t>
      </w:r>
      <w:r w:rsidR="00357DDB">
        <w:tab/>
      </w:r>
      <w:r w:rsidR="00357DDB">
        <w:tab/>
      </w:r>
    </w:p>
    <w:p w14:paraId="32A403A8" w14:textId="419C2562" w:rsidR="004D1B98" w:rsidRDefault="00D54FB0" w:rsidP="003E2534">
      <w:pPr>
        <w:pStyle w:val="ListParagraph"/>
        <w:numPr>
          <w:ilvl w:val="0"/>
          <w:numId w:val="46"/>
        </w:numPr>
        <w:ind w:hanging="720"/>
      </w:pPr>
      <w:r>
        <w:t xml:space="preserve">The Council is involved in a partnership seeking to deliver a strategy to address the impact of new development on internationally protected sites in the New Forest. This partnership has published research showing where visitors come from and their impact and it will form the basis for a </w:t>
      </w:r>
      <w:r w:rsidR="00DE1687">
        <w:t xml:space="preserve">future </w:t>
      </w:r>
      <w:r>
        <w:t xml:space="preserve">mitigation strategy. </w:t>
      </w:r>
    </w:p>
    <w:p w14:paraId="7CE349EA" w14:textId="77777777" w:rsidR="003E2534" w:rsidRDefault="003E2534" w:rsidP="007A00F7">
      <w:pPr>
        <w:pStyle w:val="ListParagraph"/>
      </w:pPr>
    </w:p>
    <w:p w14:paraId="5141D271" w14:textId="560F9C52" w:rsidR="003E2534" w:rsidRDefault="00D54FB0" w:rsidP="007A00F7">
      <w:pPr>
        <w:pStyle w:val="ListParagraph"/>
        <w:numPr>
          <w:ilvl w:val="0"/>
          <w:numId w:val="46"/>
        </w:numPr>
        <w:ind w:hanging="720"/>
      </w:pPr>
      <w:r>
        <w:t>The Council currently allocates developer contributions towards improvements in open space, green infrastructure and woodland across the Borough</w:t>
      </w:r>
      <w:r w:rsidR="008921C6">
        <w:t xml:space="preserve"> as part of an interim mitigation strategy</w:t>
      </w:r>
      <w:r w:rsidR="000F634A">
        <w:rPr>
          <w:rStyle w:val="FootnoteReference"/>
        </w:rPr>
        <w:footnoteReference w:id="2"/>
      </w:r>
      <w:r>
        <w:t>. The intention of these improvements is to provide Suitable Alternative Natural Green</w:t>
      </w:r>
      <w:r w:rsidR="00652C7B">
        <w:t>s</w:t>
      </w:r>
      <w:r>
        <w:t>pace</w:t>
      </w:r>
      <w:r w:rsidR="00652C7B">
        <w:t>s</w:t>
      </w:r>
      <w:r>
        <w:t xml:space="preserve"> (SANGs) to reduce the overall number of trips made to the New Forest which in turn reduces recreational pressure upon its sensitive international and national nature conservation designations.</w:t>
      </w:r>
      <w:r w:rsidR="000A2E9F">
        <w:t xml:space="preserve"> </w:t>
      </w:r>
      <w:r w:rsidR="00975AA6" w:rsidRPr="00424B0A">
        <w:t xml:space="preserve">Further information about proposed qualitative improvements at the Council owned and managed Itchen Valley Country Park that will be funded from </w:t>
      </w:r>
      <w:r w:rsidR="008F5479">
        <w:t xml:space="preserve">these </w:t>
      </w:r>
      <w:r w:rsidR="00975AA6" w:rsidRPr="00424B0A">
        <w:t xml:space="preserve">developer contributions is </w:t>
      </w:r>
      <w:r w:rsidR="00411A31">
        <w:t>included</w:t>
      </w:r>
      <w:r w:rsidR="00975AA6" w:rsidRPr="00424B0A">
        <w:t xml:space="preserve"> in Section 5</w:t>
      </w:r>
      <w:r w:rsidR="00975AA6">
        <w:t xml:space="preserve">. </w:t>
      </w:r>
      <w:r w:rsidR="000A2E9F">
        <w:t>Th</w:t>
      </w:r>
      <w:r w:rsidR="008560AC">
        <w:t>e interim mitigation strategy</w:t>
      </w:r>
      <w:r w:rsidR="000A2E9F">
        <w:t xml:space="preserve"> also involves financial contributions to the management of recreational impacts within the New Forest </w:t>
      </w:r>
      <w:r w:rsidR="00975AA6">
        <w:t>protected sites.</w:t>
      </w:r>
    </w:p>
    <w:p w14:paraId="2C3A0E19" w14:textId="77777777" w:rsidR="003E2534" w:rsidRDefault="003E2534" w:rsidP="007A00F7">
      <w:pPr>
        <w:pStyle w:val="ListParagraph"/>
      </w:pPr>
    </w:p>
    <w:p w14:paraId="186413FC" w14:textId="2FECD4CD" w:rsidR="00D708F6" w:rsidRDefault="00D54FB0" w:rsidP="007A00F7">
      <w:pPr>
        <w:pStyle w:val="ListParagraph"/>
        <w:numPr>
          <w:ilvl w:val="0"/>
          <w:numId w:val="46"/>
        </w:numPr>
        <w:ind w:hanging="720"/>
      </w:pPr>
      <w:r>
        <w:t>The Council</w:t>
      </w:r>
      <w:r w:rsidR="008560AC">
        <w:t xml:space="preserve">’s interim mitigation strategy </w:t>
      </w:r>
      <w:r w:rsidR="00802C43">
        <w:t>covers the period until the end of March 2027</w:t>
      </w:r>
      <w:r w:rsidR="00406F28">
        <w:t xml:space="preserve"> an</w:t>
      </w:r>
      <w:r w:rsidR="00802C43">
        <w:t xml:space="preserve">d will enable the Council to </w:t>
      </w:r>
      <w:r w:rsidR="008D0AE1">
        <w:t xml:space="preserve">fully address potential impacts for the borough </w:t>
      </w:r>
      <w:r w:rsidR="00261454">
        <w:t>for</w:t>
      </w:r>
      <w:r w:rsidR="008D0AE1">
        <w:t xml:space="preserve"> this time period and undertake further research and monitoring before the full strategy is finalised and agreed with the partnership. </w:t>
      </w:r>
      <w:r>
        <w:t xml:space="preserve"> </w:t>
      </w:r>
    </w:p>
    <w:p w14:paraId="25CC0290" w14:textId="2483BB9D" w:rsidR="00FE624F" w:rsidRPr="00E605C9" w:rsidRDefault="00FE624F" w:rsidP="00FE624F">
      <w:pPr>
        <w:jc w:val="both"/>
        <w:rPr>
          <w:u w:val="single"/>
        </w:rPr>
      </w:pPr>
      <w:r w:rsidRPr="2934EBA0">
        <w:rPr>
          <w:u w:val="single"/>
        </w:rPr>
        <w:t xml:space="preserve">Nutrient </w:t>
      </w:r>
      <w:r w:rsidR="00ED6FAA" w:rsidRPr="2934EBA0">
        <w:rPr>
          <w:u w:val="single"/>
        </w:rPr>
        <w:t xml:space="preserve">and Phosphate Offsetting </w:t>
      </w:r>
    </w:p>
    <w:p w14:paraId="43B75AE0" w14:textId="3D49444C" w:rsidR="00FE624F" w:rsidRPr="007A00F7" w:rsidRDefault="00FE624F" w:rsidP="007A00F7">
      <w:pPr>
        <w:pStyle w:val="ListParagraph"/>
        <w:numPr>
          <w:ilvl w:val="0"/>
          <w:numId w:val="46"/>
        </w:numPr>
        <w:autoSpaceDE w:val="0"/>
        <w:autoSpaceDN w:val="0"/>
        <w:ind w:hanging="720"/>
        <w:rPr>
          <w:color w:val="auto"/>
        </w:rPr>
      </w:pPr>
      <w:r w:rsidRPr="007A00F7">
        <w:rPr>
          <w:color w:val="auto"/>
        </w:rPr>
        <w:t xml:space="preserve">Excesses of nutrients such as nitrogen and phosphorous from different man-made sources, including agricultural fertilizers and household wastewater, make their way into bodies of water, the waterways and coastlines of the Solent region, which are protected under a variety of legislation due to their internationally important ecology. The effects of this can be significant for local wildlife, including the growth of thick layers of algae, which deprive the plants beneath of light, reducing levels of oxygen in the water, and causing disruption to the ecosystems they affect. In response to the established problem of nutrient pollutants, and to help ensure that developments achieve nutrient neutrality, Eastleigh Borough Council has put a scheme in place so that developers can offset their nutrient outputs against Council land through the purchase of credits. </w:t>
      </w:r>
    </w:p>
    <w:p w14:paraId="28C7164F" w14:textId="77777777" w:rsidR="003E2534" w:rsidRDefault="003E2534" w:rsidP="007A00F7">
      <w:pPr>
        <w:pStyle w:val="ListParagraph"/>
        <w:autoSpaceDE w:val="0"/>
        <w:autoSpaceDN w:val="0"/>
        <w:rPr>
          <w:color w:val="auto"/>
        </w:rPr>
      </w:pPr>
    </w:p>
    <w:p w14:paraId="00244091" w14:textId="756D1780" w:rsidR="00FE624F" w:rsidRPr="007A00F7" w:rsidRDefault="00FE624F" w:rsidP="007A00F7">
      <w:pPr>
        <w:pStyle w:val="ListParagraph"/>
        <w:numPr>
          <w:ilvl w:val="0"/>
          <w:numId w:val="46"/>
        </w:numPr>
        <w:autoSpaceDE w:val="0"/>
        <w:autoSpaceDN w:val="0"/>
        <w:ind w:hanging="720"/>
        <w:rPr>
          <w:color w:val="auto"/>
        </w:rPr>
      </w:pPr>
      <w:r w:rsidRPr="007A00F7">
        <w:rPr>
          <w:color w:val="auto"/>
        </w:rPr>
        <w:t>To date the nitrate credits being made available by Eastleigh Borough Council are all through the cessation of farming practices and do not rely on any proactive interventions e</w:t>
      </w:r>
      <w:r w:rsidR="00010630" w:rsidRPr="007A00F7">
        <w:rPr>
          <w:color w:val="auto"/>
        </w:rPr>
        <w:t>.</w:t>
      </w:r>
      <w:r w:rsidRPr="007A00F7">
        <w:rPr>
          <w:color w:val="auto"/>
        </w:rPr>
        <w:t>g</w:t>
      </w:r>
      <w:r w:rsidR="00010630" w:rsidRPr="007A00F7">
        <w:rPr>
          <w:color w:val="auto"/>
        </w:rPr>
        <w:t>.</w:t>
      </w:r>
      <w:r w:rsidRPr="007A00F7">
        <w:rPr>
          <w:color w:val="auto"/>
        </w:rPr>
        <w:t xml:space="preserve"> the creation of wetlands, woodland planting or the installation of nitrate retaining SUDs features.</w:t>
      </w:r>
      <w:r w:rsidR="007D6858" w:rsidRPr="007A00F7">
        <w:rPr>
          <w:color w:val="auto"/>
        </w:rPr>
        <w:t xml:space="preserve"> </w:t>
      </w:r>
      <w:r w:rsidR="00891BCD" w:rsidRPr="007A00F7">
        <w:rPr>
          <w:color w:val="auto"/>
        </w:rPr>
        <w:t xml:space="preserve">Nitrate credits can be purchased by developers at </w:t>
      </w:r>
      <w:r w:rsidR="00083FB4" w:rsidRPr="007A00F7">
        <w:rPr>
          <w:color w:val="auto"/>
        </w:rPr>
        <w:t>a cost of £3,000 per credit plus VAT (</w:t>
      </w:r>
      <w:r w:rsidR="000F0739" w:rsidRPr="007A00F7">
        <w:rPr>
          <w:color w:val="auto"/>
        </w:rPr>
        <w:t>the cost is</w:t>
      </w:r>
      <w:r w:rsidR="00083FB4" w:rsidRPr="007A00F7">
        <w:rPr>
          <w:color w:val="auto"/>
        </w:rPr>
        <w:t xml:space="preserve"> subject to </w:t>
      </w:r>
      <w:r w:rsidR="00207A4C" w:rsidRPr="007A00F7">
        <w:rPr>
          <w:color w:val="auto"/>
        </w:rPr>
        <w:t xml:space="preserve">Consumer Price Index (CPI) </w:t>
      </w:r>
      <w:r w:rsidR="00083FB4" w:rsidRPr="007A00F7">
        <w:rPr>
          <w:color w:val="auto"/>
        </w:rPr>
        <w:t>inflation</w:t>
      </w:r>
      <w:r w:rsidR="00B2579D" w:rsidRPr="007A00F7">
        <w:rPr>
          <w:color w:val="auto"/>
        </w:rPr>
        <w:t>ary</w:t>
      </w:r>
      <w:r w:rsidR="00083FB4" w:rsidRPr="007A00F7">
        <w:rPr>
          <w:color w:val="auto"/>
        </w:rPr>
        <w:t xml:space="preserve"> </w:t>
      </w:r>
      <w:r w:rsidR="000F0739" w:rsidRPr="007A00F7">
        <w:rPr>
          <w:color w:val="auto"/>
        </w:rPr>
        <w:t>rises</w:t>
      </w:r>
      <w:r w:rsidR="00083FB4" w:rsidRPr="007A00F7">
        <w:rPr>
          <w:color w:val="auto"/>
        </w:rPr>
        <w:t xml:space="preserve"> each year).  </w:t>
      </w:r>
      <w:r w:rsidR="00EE6106" w:rsidRPr="007A1413">
        <w:t>Further information on what the Council is doing to address pollution associated with nitrates</w:t>
      </w:r>
      <w:r w:rsidR="00EE6106" w:rsidRPr="51FC8B29">
        <w:t xml:space="preserve"> can be found on the </w:t>
      </w:r>
      <w:hyperlink r:id="rId19">
        <w:r w:rsidR="00EE6106" w:rsidRPr="003E2534">
          <w:rPr>
            <w:rFonts w:eastAsiaTheme="minorEastAsia"/>
            <w:color w:val="0000FF"/>
            <w:u w:val="single"/>
          </w:rPr>
          <w:t>Council website</w:t>
        </w:r>
      </w:hyperlink>
      <w:r w:rsidR="00EE6106" w:rsidRPr="51FC8B29">
        <w:t>.</w:t>
      </w:r>
    </w:p>
    <w:p w14:paraId="4E03BBC7" w14:textId="77777777" w:rsidR="003E2534" w:rsidRPr="007A00F7" w:rsidRDefault="003E2534" w:rsidP="007A00F7">
      <w:pPr>
        <w:pStyle w:val="ListParagraph"/>
        <w:autoSpaceDE w:val="0"/>
        <w:autoSpaceDN w:val="0"/>
      </w:pPr>
    </w:p>
    <w:p w14:paraId="476F8C96" w14:textId="627B9DB5" w:rsidR="00D54FB0" w:rsidRDefault="00D93E58" w:rsidP="007A00F7">
      <w:pPr>
        <w:pStyle w:val="ListParagraph"/>
        <w:numPr>
          <w:ilvl w:val="0"/>
          <w:numId w:val="46"/>
        </w:numPr>
        <w:autoSpaceDE w:val="0"/>
        <w:autoSpaceDN w:val="0"/>
        <w:ind w:hanging="720"/>
        <w:rPr>
          <w:color w:val="auto"/>
        </w:rPr>
      </w:pPr>
      <w:r w:rsidRPr="007A00F7">
        <w:rPr>
          <w:color w:val="auto"/>
        </w:rPr>
        <w:t xml:space="preserve">The Council also </w:t>
      </w:r>
      <w:r w:rsidR="00287E24" w:rsidRPr="007A00F7">
        <w:rPr>
          <w:color w:val="auto"/>
        </w:rPr>
        <w:t xml:space="preserve">agreed an interim plan in July 2022 to allow developers to address the environmental impact of phosphates arising from new development within, and draining into Wastewater Treatment Works in, the River Itchen Special Area of Conservation (SAC) catchment area. </w:t>
      </w:r>
      <w:r w:rsidR="00776555" w:rsidRPr="007A00F7">
        <w:rPr>
          <w:color w:val="auto"/>
        </w:rPr>
        <w:t xml:space="preserve">The Interim Phosphate Mitigation Strategy has allowed developers to </w:t>
      </w:r>
      <w:r w:rsidR="00836DB8" w:rsidRPr="007A00F7">
        <w:rPr>
          <w:color w:val="auto"/>
        </w:rPr>
        <w:t xml:space="preserve">purchase credits at </w:t>
      </w:r>
      <w:r w:rsidR="00083FB4" w:rsidRPr="007A00F7">
        <w:rPr>
          <w:color w:val="auto"/>
        </w:rPr>
        <w:t xml:space="preserve">a cost of </w:t>
      </w:r>
      <w:r w:rsidR="00836DB8" w:rsidRPr="007A00F7">
        <w:rPr>
          <w:color w:val="auto"/>
        </w:rPr>
        <w:t xml:space="preserve">£50,000 </w:t>
      </w:r>
      <w:r w:rsidR="00083FB4" w:rsidRPr="007A00F7">
        <w:rPr>
          <w:color w:val="auto"/>
        </w:rPr>
        <w:t xml:space="preserve">per </w:t>
      </w:r>
      <w:r w:rsidR="00836DB8" w:rsidRPr="007A00F7">
        <w:rPr>
          <w:color w:val="auto"/>
        </w:rPr>
        <w:t>credit</w:t>
      </w:r>
      <w:r w:rsidR="0067390F" w:rsidRPr="007A00F7">
        <w:rPr>
          <w:color w:val="auto"/>
        </w:rPr>
        <w:t xml:space="preserve"> (the price per dwelling will vary depending on the level of impact)</w:t>
      </w:r>
      <w:r w:rsidR="00D04DEA" w:rsidRPr="007A00F7">
        <w:rPr>
          <w:color w:val="auto"/>
        </w:rPr>
        <w:t xml:space="preserve">. Further information </w:t>
      </w:r>
      <w:r w:rsidR="00A2664C" w:rsidRPr="007A00F7">
        <w:rPr>
          <w:color w:val="auto"/>
        </w:rPr>
        <w:t xml:space="preserve">on what the Council is doing to address pollution associated with phosphates </w:t>
      </w:r>
      <w:r w:rsidR="00D04DEA" w:rsidRPr="007A00F7">
        <w:rPr>
          <w:color w:val="auto"/>
        </w:rPr>
        <w:t xml:space="preserve">can be found on the </w:t>
      </w:r>
      <w:hyperlink r:id="rId20">
        <w:r w:rsidR="00BB1700" w:rsidRPr="003E2534">
          <w:rPr>
            <w:color w:val="0000FF"/>
            <w:u w:val="single"/>
          </w:rPr>
          <w:t>Council website</w:t>
        </w:r>
      </w:hyperlink>
      <w:r w:rsidR="00D04DEA" w:rsidRPr="007A00F7">
        <w:rPr>
          <w:color w:val="auto"/>
        </w:rPr>
        <w:t xml:space="preserve">. </w:t>
      </w:r>
    </w:p>
    <w:p w14:paraId="6ADC2A05" w14:textId="5F14141B" w:rsidR="00C8620D" w:rsidRPr="00B469EC" w:rsidRDefault="00C8620D" w:rsidP="00A86FCC">
      <w:pPr>
        <w:pStyle w:val="Style2"/>
        <w:rPr>
          <w:sz w:val="24"/>
          <w:szCs w:val="24"/>
        </w:rPr>
      </w:pPr>
      <w:bookmarkStart w:id="23" w:name="_Toc61851458"/>
      <w:bookmarkStart w:id="24" w:name="_Toc62139447"/>
      <w:bookmarkStart w:id="25" w:name="_Toc96957088"/>
      <w:bookmarkStart w:id="26" w:name="_Toc179280790"/>
      <w:r w:rsidRPr="2934EBA0">
        <w:rPr>
          <w:sz w:val="24"/>
          <w:szCs w:val="24"/>
        </w:rPr>
        <w:t>Other Infrastructure Funding Sources</w:t>
      </w:r>
      <w:bookmarkEnd w:id="23"/>
      <w:bookmarkEnd w:id="24"/>
      <w:bookmarkEnd w:id="25"/>
      <w:bookmarkEnd w:id="26"/>
    </w:p>
    <w:p w14:paraId="74C9C047" w14:textId="23449CE7" w:rsidR="00BB3089" w:rsidRPr="00F20A58" w:rsidRDefault="00BB3089" w:rsidP="007A00F7">
      <w:pPr>
        <w:pStyle w:val="ListParagraph"/>
        <w:numPr>
          <w:ilvl w:val="0"/>
          <w:numId w:val="46"/>
        </w:numPr>
        <w:shd w:val="clear" w:color="auto" w:fill="FFFFFF" w:themeFill="background1"/>
        <w:tabs>
          <w:tab w:val="left" w:pos="8789"/>
        </w:tabs>
        <w:ind w:hanging="720"/>
        <w:rPr>
          <w:rFonts w:eastAsia="Times New Roman"/>
          <w:color w:val="212529"/>
          <w:lang w:eastAsia="en-GB"/>
        </w:rPr>
      </w:pPr>
      <w:r>
        <w:rPr>
          <w:rFonts w:eastAsia="Times New Roman"/>
          <w:color w:val="212529"/>
          <w:lang w:eastAsia="en-GB"/>
        </w:rPr>
        <w:t xml:space="preserve">As </w:t>
      </w:r>
      <w:r w:rsidRPr="00F2667C">
        <w:rPr>
          <w:color w:val="auto"/>
        </w:rPr>
        <w:t xml:space="preserve">explained above, this IFS provides financial information relating to planning obligations </w:t>
      </w:r>
      <w:r w:rsidR="000C4901">
        <w:rPr>
          <w:color w:val="auto"/>
        </w:rPr>
        <w:t xml:space="preserve">which developers </w:t>
      </w:r>
      <w:r w:rsidRPr="00F2667C">
        <w:rPr>
          <w:color w:val="auto"/>
        </w:rPr>
        <w:t xml:space="preserve">enter into with Eastleigh Borough Council as per the Community Infrastructure Levy Regulations 2019. </w:t>
      </w:r>
      <w:r w:rsidR="001A5A3A">
        <w:rPr>
          <w:color w:val="auto"/>
        </w:rPr>
        <w:t>I</w:t>
      </w:r>
      <w:r w:rsidR="00D401EB">
        <w:rPr>
          <w:color w:val="auto"/>
        </w:rPr>
        <w:t>t</w:t>
      </w:r>
      <w:r w:rsidR="001A5A3A">
        <w:rPr>
          <w:color w:val="auto"/>
        </w:rPr>
        <w:t xml:space="preserve"> does not report on other</w:t>
      </w:r>
      <w:r w:rsidR="00D401EB">
        <w:rPr>
          <w:color w:val="auto"/>
        </w:rPr>
        <w:t xml:space="preserve"> </w:t>
      </w:r>
      <w:r w:rsidR="001A5A3A">
        <w:rPr>
          <w:color w:val="auto"/>
        </w:rPr>
        <w:t>sources of infrastructure funding</w:t>
      </w:r>
      <w:r w:rsidR="00D401EB">
        <w:rPr>
          <w:color w:val="auto"/>
        </w:rPr>
        <w:t xml:space="preserve">. </w:t>
      </w:r>
      <w:r w:rsidRPr="00F2667C">
        <w:rPr>
          <w:color w:val="auto"/>
        </w:rPr>
        <w:t>However, it is important to be aware in general terms that it is common for different funding sources to be combined to pay for new infrastructure provision. The high costs of infrastructure can sometimes mean there is a funding gap, which is bridged with other funding sources such as grant funding, revenue budgets and reserves. This funding gap can also mean that there are unavoidable delays in fully allocating and spending funds collected.</w:t>
      </w:r>
      <w:r w:rsidRPr="00EB1813">
        <w:rPr>
          <w:rFonts w:eastAsia="Times New Roman"/>
          <w:color w:val="212529"/>
          <w:lang w:eastAsia="en-GB"/>
        </w:rPr>
        <w:t xml:space="preserve"> </w:t>
      </w:r>
    </w:p>
    <w:p w14:paraId="7AE26AE3" w14:textId="77777777" w:rsidR="00BB3089" w:rsidRPr="00F20A58" w:rsidRDefault="00BB3089" w:rsidP="007A00F7">
      <w:pPr>
        <w:pStyle w:val="ListParagraph"/>
        <w:ind w:hanging="720"/>
        <w:rPr>
          <w:color w:val="auto"/>
        </w:rPr>
      </w:pPr>
    </w:p>
    <w:p w14:paraId="4CD6F641" w14:textId="13B6778C" w:rsidR="00762CF5" w:rsidRDefault="00D33E2C" w:rsidP="007A00F7">
      <w:pPr>
        <w:pStyle w:val="ListParagraph"/>
        <w:numPr>
          <w:ilvl w:val="0"/>
          <w:numId w:val="46"/>
        </w:numPr>
        <w:shd w:val="clear" w:color="auto" w:fill="FFFFFF" w:themeFill="background1"/>
        <w:tabs>
          <w:tab w:val="left" w:pos="8789"/>
        </w:tabs>
        <w:ind w:hanging="720"/>
        <w:rPr>
          <w:rFonts w:eastAsia="Times New Roman"/>
          <w:color w:val="212529"/>
          <w:lang w:eastAsia="en-GB"/>
        </w:rPr>
      </w:pPr>
      <w:r w:rsidRPr="00F20A58">
        <w:rPr>
          <w:color w:val="auto"/>
        </w:rPr>
        <w:t>E</w:t>
      </w:r>
      <w:r w:rsidR="000E19CF">
        <w:rPr>
          <w:color w:val="auto"/>
        </w:rPr>
        <w:t>x</w:t>
      </w:r>
      <w:r w:rsidRPr="00F20A58">
        <w:rPr>
          <w:color w:val="auto"/>
        </w:rPr>
        <w:t>ternal funding can come from a number of different sources such as Government funds (</w:t>
      </w:r>
      <w:r w:rsidR="0084719C">
        <w:rPr>
          <w:color w:val="auto"/>
        </w:rPr>
        <w:t>including</w:t>
      </w:r>
      <w:r w:rsidRPr="00F20A58">
        <w:rPr>
          <w:color w:val="auto"/>
        </w:rPr>
        <w:t xml:space="preserve"> non-departmental Government bodies such as Homes England and Sport England</w:t>
      </w:r>
      <w:r w:rsidR="00552875">
        <w:rPr>
          <w:color w:val="auto"/>
        </w:rPr>
        <w:t xml:space="preserve">) </w:t>
      </w:r>
      <w:r w:rsidR="001F525A">
        <w:rPr>
          <w:color w:val="auto"/>
        </w:rPr>
        <w:t>and</w:t>
      </w:r>
      <w:r w:rsidRPr="00F20A58">
        <w:rPr>
          <w:color w:val="auto"/>
        </w:rPr>
        <w:t xml:space="preserve"> utility companies which have a statutory responsibility to provide for critical and essential infrastructure (e.g. electricity, gas and wastewater connections). </w:t>
      </w:r>
    </w:p>
    <w:p w14:paraId="40DC3C3B" w14:textId="77777777" w:rsidR="004158A0" w:rsidRDefault="004158A0">
      <w:pPr>
        <w:rPr>
          <w:rFonts w:eastAsia="Times New Roman"/>
          <w:b/>
          <w:color w:val="212529"/>
          <w:lang w:eastAsia="en-GB"/>
        </w:rPr>
      </w:pPr>
      <w:bookmarkStart w:id="27" w:name="_Toc61851461"/>
      <w:bookmarkStart w:id="28" w:name="_Toc62139450"/>
      <w:r>
        <w:br w:type="page"/>
      </w:r>
    </w:p>
    <w:p w14:paraId="69BA206C" w14:textId="1D42AFD0" w:rsidR="00DF3DAE" w:rsidRPr="00335F59" w:rsidRDefault="00906183">
      <w:pPr>
        <w:pStyle w:val="Style1"/>
        <w:jc w:val="left"/>
        <w:rPr>
          <w:sz w:val="24"/>
          <w:szCs w:val="24"/>
        </w:rPr>
      </w:pPr>
      <w:bookmarkStart w:id="29" w:name="_Toc179280791"/>
      <w:r w:rsidRPr="2934EBA0">
        <w:rPr>
          <w:sz w:val="24"/>
          <w:szCs w:val="24"/>
        </w:rPr>
        <w:t xml:space="preserve">Section </w:t>
      </w:r>
      <w:r w:rsidR="00552875" w:rsidRPr="2934EBA0">
        <w:rPr>
          <w:sz w:val="24"/>
          <w:szCs w:val="24"/>
        </w:rPr>
        <w:t>3</w:t>
      </w:r>
      <w:r w:rsidRPr="2934EBA0">
        <w:rPr>
          <w:sz w:val="24"/>
          <w:szCs w:val="24"/>
        </w:rPr>
        <w:t xml:space="preserve">: </w:t>
      </w:r>
      <w:r w:rsidR="00DF3DAE" w:rsidRPr="2934EBA0">
        <w:rPr>
          <w:sz w:val="24"/>
          <w:szCs w:val="24"/>
        </w:rPr>
        <w:t xml:space="preserve">Developer </w:t>
      </w:r>
      <w:r w:rsidR="00CA251E" w:rsidRPr="2934EBA0">
        <w:rPr>
          <w:sz w:val="24"/>
          <w:szCs w:val="24"/>
        </w:rPr>
        <w:t>C</w:t>
      </w:r>
      <w:r w:rsidR="00DF3DAE" w:rsidRPr="2934EBA0">
        <w:rPr>
          <w:sz w:val="24"/>
          <w:szCs w:val="24"/>
        </w:rPr>
        <w:t xml:space="preserve">ontributions </w:t>
      </w:r>
      <w:r w:rsidR="00CA251E" w:rsidRPr="2934EBA0">
        <w:rPr>
          <w:sz w:val="24"/>
          <w:szCs w:val="24"/>
        </w:rPr>
        <w:t>R</w:t>
      </w:r>
      <w:r w:rsidR="00DF3DAE" w:rsidRPr="2934EBA0">
        <w:rPr>
          <w:sz w:val="24"/>
          <w:szCs w:val="24"/>
        </w:rPr>
        <w:t>eporting for 20</w:t>
      </w:r>
      <w:r w:rsidR="00335F59" w:rsidRPr="2934EBA0">
        <w:rPr>
          <w:sz w:val="24"/>
          <w:szCs w:val="24"/>
        </w:rPr>
        <w:t>2</w:t>
      </w:r>
      <w:r w:rsidR="00552875" w:rsidRPr="2934EBA0">
        <w:rPr>
          <w:sz w:val="24"/>
          <w:szCs w:val="24"/>
        </w:rPr>
        <w:t>3</w:t>
      </w:r>
      <w:r w:rsidR="00DF3DAE" w:rsidRPr="2934EBA0">
        <w:rPr>
          <w:sz w:val="24"/>
          <w:szCs w:val="24"/>
        </w:rPr>
        <w:t>/</w:t>
      </w:r>
      <w:bookmarkEnd w:id="27"/>
      <w:bookmarkEnd w:id="28"/>
      <w:r w:rsidR="00552875" w:rsidRPr="2934EBA0">
        <w:rPr>
          <w:sz w:val="24"/>
          <w:szCs w:val="24"/>
        </w:rPr>
        <w:t>24</w:t>
      </w:r>
      <w:bookmarkEnd w:id="29"/>
    </w:p>
    <w:p w14:paraId="0298DFA3" w14:textId="77777777" w:rsidR="00AC379B" w:rsidRPr="00CC2D77" w:rsidRDefault="00AC379B" w:rsidP="00425381">
      <w:pPr>
        <w:tabs>
          <w:tab w:val="left" w:pos="10348"/>
        </w:tabs>
        <w:spacing w:after="0"/>
        <w:rPr>
          <w:highlight w:val="yellow"/>
        </w:rPr>
      </w:pPr>
    </w:p>
    <w:p w14:paraId="21F20EE5" w14:textId="3A85A7DA" w:rsidR="00361B17" w:rsidRPr="00552875" w:rsidRDefault="00162757" w:rsidP="00552875">
      <w:pPr>
        <w:pStyle w:val="ListParagraph"/>
        <w:numPr>
          <w:ilvl w:val="0"/>
          <w:numId w:val="52"/>
        </w:numPr>
        <w:tabs>
          <w:tab w:val="left" w:pos="10348"/>
        </w:tabs>
        <w:ind w:hanging="720"/>
      </w:pPr>
      <w:r w:rsidRPr="00EB1813">
        <w:t xml:space="preserve">This Section </w:t>
      </w:r>
      <w:r w:rsidR="002110EC" w:rsidRPr="00EB1813">
        <w:t xml:space="preserve">includes </w:t>
      </w:r>
      <w:r w:rsidRPr="00EB1813">
        <w:t xml:space="preserve">details of developer contributions which have been </w:t>
      </w:r>
      <w:r w:rsidR="002232EA" w:rsidRPr="00F20A58">
        <w:t>entered into</w:t>
      </w:r>
      <w:r w:rsidR="00335F59" w:rsidRPr="00F20A58">
        <w:t xml:space="preserve"> and secured</w:t>
      </w:r>
      <w:r w:rsidRPr="00EB1813">
        <w:t>, received, allocated and spent over the course of 20</w:t>
      </w:r>
      <w:r w:rsidR="00F80CBF">
        <w:t>23/24</w:t>
      </w:r>
      <w:r w:rsidRPr="00EB1813">
        <w:t xml:space="preserve">.  </w:t>
      </w:r>
    </w:p>
    <w:p w14:paraId="3D223FE3" w14:textId="77777777" w:rsidR="00552875" w:rsidRPr="00552875" w:rsidRDefault="00552875" w:rsidP="007A00F7">
      <w:pPr>
        <w:pStyle w:val="ListParagraph"/>
        <w:tabs>
          <w:tab w:val="left" w:pos="10348"/>
        </w:tabs>
      </w:pPr>
    </w:p>
    <w:p w14:paraId="3FA0370C" w14:textId="348516EF" w:rsidR="00162757" w:rsidRPr="00552875" w:rsidRDefault="000D34F9" w:rsidP="007A00F7">
      <w:pPr>
        <w:pStyle w:val="ListParagraph"/>
        <w:numPr>
          <w:ilvl w:val="0"/>
          <w:numId w:val="52"/>
        </w:numPr>
        <w:tabs>
          <w:tab w:val="left" w:pos="10348"/>
        </w:tabs>
        <w:ind w:hanging="720"/>
      </w:pPr>
      <w:r>
        <w:t xml:space="preserve">A </w:t>
      </w:r>
      <w:r w:rsidR="00DF3A83">
        <w:t>summary</w:t>
      </w:r>
      <w:r>
        <w:t xml:space="preserve"> </w:t>
      </w:r>
      <w:r w:rsidR="00115E42">
        <w:t>of infrastructure fundin</w:t>
      </w:r>
      <w:r w:rsidR="0099618C">
        <w:t xml:space="preserve">g, spending </w:t>
      </w:r>
      <w:r w:rsidR="00F330C5">
        <w:t xml:space="preserve">and that which has been completed </w:t>
      </w:r>
      <w:r>
        <w:t xml:space="preserve">is also provided for </w:t>
      </w:r>
      <w:r w:rsidR="00D776B6">
        <w:t>some of the Council’s key projects, namely One Horton Heath and Itchen Valley Country Park due to t</w:t>
      </w:r>
      <w:r w:rsidR="008F6C07">
        <w:t xml:space="preserve">heir strategic nature. </w:t>
      </w:r>
      <w:r w:rsidR="004D2DB3">
        <w:t xml:space="preserve">Further details of completed infrastructure </w:t>
      </w:r>
      <w:r w:rsidR="00CC3276">
        <w:t>provision in support of development</w:t>
      </w:r>
      <w:r w:rsidR="004D2DB3">
        <w:t xml:space="preserve"> across the rest of the Borough is also </w:t>
      </w:r>
      <w:r w:rsidR="00B62D33">
        <w:t>provided.</w:t>
      </w:r>
      <w:r w:rsidR="004D2DB3">
        <w:t xml:space="preserve"> </w:t>
      </w:r>
    </w:p>
    <w:p w14:paraId="5B0AD2A5" w14:textId="77777777" w:rsidR="00552875" w:rsidRPr="007A00F7" w:rsidRDefault="00552875" w:rsidP="007A00F7">
      <w:pPr>
        <w:pStyle w:val="ListParagraph"/>
        <w:tabs>
          <w:tab w:val="left" w:pos="10348"/>
        </w:tabs>
        <w:rPr>
          <w:rFonts w:eastAsia="Calibri"/>
        </w:rPr>
      </w:pPr>
    </w:p>
    <w:p w14:paraId="0612FAC9" w14:textId="1AFA35CA" w:rsidR="00EA2556" w:rsidRPr="00552875" w:rsidRDefault="004E0F7B" w:rsidP="007A00F7">
      <w:pPr>
        <w:pStyle w:val="ListParagraph"/>
        <w:numPr>
          <w:ilvl w:val="0"/>
          <w:numId w:val="52"/>
        </w:numPr>
        <w:tabs>
          <w:tab w:val="left" w:pos="10348"/>
        </w:tabs>
        <w:ind w:hanging="720"/>
        <w:rPr>
          <w:rFonts w:eastAsia="Calibri"/>
        </w:rPr>
      </w:pPr>
      <w:r w:rsidRPr="00EB1813">
        <w:t>T</w:t>
      </w:r>
      <w:r w:rsidR="00EA2556" w:rsidRPr="00EB1813">
        <w:t>able 2 provides a summary of the key developer contributions data for developments in Eastleigh Borough for the 20</w:t>
      </w:r>
      <w:r w:rsidR="00F80CBF">
        <w:t>23/24</w:t>
      </w:r>
      <w:r w:rsidR="00EA2556" w:rsidRPr="00EB1813">
        <w:t xml:space="preserve"> period. It shows the following:</w:t>
      </w:r>
    </w:p>
    <w:p w14:paraId="1334B1F6" w14:textId="77777777" w:rsidR="004E0F7B" w:rsidRPr="00F20A58" w:rsidRDefault="004E0F7B" w:rsidP="00F20A58">
      <w:pPr>
        <w:pStyle w:val="ListParagraph"/>
        <w:tabs>
          <w:tab w:val="left" w:pos="10348"/>
        </w:tabs>
        <w:spacing w:after="200" w:line="276" w:lineRule="auto"/>
        <w:rPr>
          <w:rFonts w:eastAsia="Calibri"/>
        </w:rPr>
      </w:pPr>
    </w:p>
    <w:p w14:paraId="03CBAC12" w14:textId="12226A52" w:rsidR="00FC2E76" w:rsidRPr="00F20A58" w:rsidRDefault="00FC2E76" w:rsidP="005E2C67">
      <w:pPr>
        <w:pStyle w:val="ListParagraph"/>
        <w:numPr>
          <w:ilvl w:val="0"/>
          <w:numId w:val="3"/>
        </w:numPr>
        <w:tabs>
          <w:tab w:val="left" w:pos="10348"/>
        </w:tabs>
        <w:spacing w:after="200" w:line="276" w:lineRule="auto"/>
        <w:rPr>
          <w:rFonts w:eastAsia="Calibri"/>
        </w:rPr>
      </w:pPr>
      <w:r w:rsidRPr="00EB1813">
        <w:rPr>
          <w:rFonts w:eastAsia="Calibri"/>
          <w:b/>
          <w:bCs/>
          <w:u w:val="single"/>
        </w:rPr>
        <w:t>Monies entered into / secured</w:t>
      </w:r>
      <w:r w:rsidRPr="00EB1813">
        <w:rPr>
          <w:rFonts w:eastAsia="Calibri"/>
        </w:rPr>
        <w:t xml:space="preserve"> – this is the amount of money agreed in developer contributions in 20</w:t>
      </w:r>
      <w:r w:rsidR="00F80CBF">
        <w:rPr>
          <w:rFonts w:eastAsia="Calibri"/>
        </w:rPr>
        <w:t>23/24</w:t>
      </w:r>
      <w:r w:rsidRPr="00EB1813">
        <w:rPr>
          <w:rFonts w:eastAsia="Calibri"/>
        </w:rPr>
        <w:t>. It reflects the number of planning permissions granted and the infrastructure needed to support development.</w:t>
      </w:r>
    </w:p>
    <w:p w14:paraId="212B991C" w14:textId="286E0238" w:rsidR="00EA2556" w:rsidRPr="00EB1813" w:rsidRDefault="00EA2556" w:rsidP="005E2C67">
      <w:pPr>
        <w:pStyle w:val="ListParagraph"/>
        <w:numPr>
          <w:ilvl w:val="0"/>
          <w:numId w:val="3"/>
        </w:numPr>
        <w:tabs>
          <w:tab w:val="left" w:pos="10348"/>
        </w:tabs>
        <w:spacing w:after="200" w:line="276" w:lineRule="auto"/>
        <w:rPr>
          <w:rFonts w:eastAsia="Calibri"/>
        </w:rPr>
      </w:pPr>
      <w:r w:rsidRPr="00EB1813">
        <w:rPr>
          <w:rFonts w:eastAsia="Calibri"/>
          <w:b/>
          <w:bCs/>
          <w:u w:val="single"/>
        </w:rPr>
        <w:t>Monies received</w:t>
      </w:r>
      <w:r w:rsidRPr="00EB1813">
        <w:rPr>
          <w:rFonts w:eastAsia="Calibri"/>
        </w:rPr>
        <w:t xml:space="preserve"> – </w:t>
      </w:r>
      <w:r w:rsidRPr="00EB1813">
        <w:t xml:space="preserve">full or partial contributions </w:t>
      </w:r>
      <w:r w:rsidRPr="00EB1813">
        <w:rPr>
          <w:rFonts w:eastAsia="Calibri"/>
        </w:rPr>
        <w:t>paid by developer</w:t>
      </w:r>
      <w:r w:rsidRPr="00EB1813">
        <w:t xml:space="preserve">s </w:t>
      </w:r>
      <w:r w:rsidRPr="00EB1813">
        <w:rPr>
          <w:rFonts w:eastAsia="Calibri"/>
        </w:rPr>
        <w:t>in 20</w:t>
      </w:r>
      <w:r w:rsidR="00F80CBF">
        <w:rPr>
          <w:rFonts w:eastAsia="Calibri"/>
        </w:rPr>
        <w:t>23/24</w:t>
      </w:r>
      <w:r w:rsidRPr="00EB1813">
        <w:rPr>
          <w:rFonts w:eastAsia="Calibri"/>
        </w:rPr>
        <w:t>. Contributions are often paid in instalments at different stages in the development. Monies received may</w:t>
      </w:r>
      <w:r w:rsidRPr="00EB1813">
        <w:t xml:space="preserve"> therefore</w:t>
      </w:r>
      <w:r w:rsidRPr="00EB1813">
        <w:rPr>
          <w:rFonts w:eastAsia="Calibri"/>
        </w:rPr>
        <w:t xml:space="preserve"> include contributions agreed before 20</w:t>
      </w:r>
      <w:r w:rsidR="00F80CBF">
        <w:rPr>
          <w:rFonts w:eastAsia="Calibri"/>
        </w:rPr>
        <w:t>23/24</w:t>
      </w:r>
      <w:r w:rsidRPr="00EB1813">
        <w:rPr>
          <w:rFonts w:eastAsia="Calibri"/>
        </w:rPr>
        <w:t xml:space="preserve">. </w:t>
      </w:r>
    </w:p>
    <w:p w14:paraId="209D8178" w14:textId="60724242" w:rsidR="00EA2556" w:rsidRPr="00EB1813" w:rsidRDefault="00EA2556" w:rsidP="005E2C67">
      <w:pPr>
        <w:pStyle w:val="ListParagraph"/>
        <w:numPr>
          <w:ilvl w:val="0"/>
          <w:numId w:val="3"/>
        </w:numPr>
        <w:tabs>
          <w:tab w:val="left" w:pos="10348"/>
        </w:tabs>
        <w:spacing w:after="200" w:line="276" w:lineRule="auto"/>
        <w:rPr>
          <w:rFonts w:eastAsia="Calibri"/>
        </w:rPr>
      </w:pPr>
      <w:r w:rsidRPr="00EB1813">
        <w:rPr>
          <w:rFonts w:eastAsia="Calibri"/>
          <w:b/>
          <w:bCs/>
          <w:u w:val="single"/>
        </w:rPr>
        <w:t>Monies allocated</w:t>
      </w:r>
      <w:r w:rsidRPr="00EB1813">
        <w:rPr>
          <w:rFonts w:eastAsia="Calibri"/>
        </w:rPr>
        <w:t xml:space="preserve"> – monies received in full and then allocated </w:t>
      </w:r>
      <w:r w:rsidRPr="00EB1813">
        <w:t>for a defined project</w:t>
      </w:r>
      <w:r w:rsidRPr="00EB1813">
        <w:rPr>
          <w:rFonts w:eastAsia="Calibri"/>
        </w:rPr>
        <w:t xml:space="preserve"> in 20</w:t>
      </w:r>
      <w:r w:rsidR="00F80CBF">
        <w:rPr>
          <w:rFonts w:eastAsia="Calibri"/>
        </w:rPr>
        <w:t>23/24</w:t>
      </w:r>
      <w:r w:rsidRPr="00EB1813">
        <w:rPr>
          <w:rFonts w:eastAsia="Calibri"/>
        </w:rPr>
        <w:t>. Monies allocated may include contributions received and agreed before 20</w:t>
      </w:r>
      <w:r w:rsidR="00F80CBF">
        <w:rPr>
          <w:rFonts w:eastAsia="Calibri"/>
        </w:rPr>
        <w:t>23/24</w:t>
      </w:r>
      <w:r w:rsidRPr="00EB1813">
        <w:rPr>
          <w:rFonts w:eastAsia="Calibri"/>
        </w:rPr>
        <w:t>.</w:t>
      </w:r>
    </w:p>
    <w:p w14:paraId="557C9835" w14:textId="7C975FF2" w:rsidR="00EA2556" w:rsidRDefault="00EA2556" w:rsidP="005E2C67">
      <w:pPr>
        <w:pStyle w:val="ListParagraph"/>
        <w:numPr>
          <w:ilvl w:val="0"/>
          <w:numId w:val="3"/>
        </w:numPr>
        <w:tabs>
          <w:tab w:val="left" w:pos="10348"/>
        </w:tabs>
        <w:spacing w:after="200" w:line="276" w:lineRule="auto"/>
        <w:rPr>
          <w:rFonts w:eastAsia="Calibri"/>
        </w:rPr>
      </w:pPr>
      <w:r w:rsidRPr="00EB1813">
        <w:rPr>
          <w:rFonts w:eastAsia="Calibri"/>
          <w:b/>
          <w:bCs/>
          <w:u w:val="single"/>
        </w:rPr>
        <w:t>Monies spent</w:t>
      </w:r>
      <w:r w:rsidRPr="00EB1813">
        <w:rPr>
          <w:rFonts w:eastAsia="Calibri"/>
        </w:rPr>
        <w:t xml:space="preserve"> – contributions that were spent in 20</w:t>
      </w:r>
      <w:r w:rsidR="00F80CBF">
        <w:rPr>
          <w:rFonts w:eastAsia="Calibri"/>
        </w:rPr>
        <w:t>23/24</w:t>
      </w:r>
      <w:r w:rsidR="002110EC" w:rsidRPr="00EB1813">
        <w:rPr>
          <w:rFonts w:eastAsia="Calibri"/>
        </w:rPr>
        <w:t>. This may relate to contributions allocated, received and agreed before 20</w:t>
      </w:r>
      <w:r w:rsidR="00F80CBF">
        <w:rPr>
          <w:rFonts w:eastAsia="Calibri"/>
        </w:rPr>
        <w:t>23/24</w:t>
      </w:r>
      <w:r w:rsidR="002110EC" w:rsidRPr="00EB1813">
        <w:rPr>
          <w:rFonts w:eastAsia="Calibri"/>
        </w:rPr>
        <w:t xml:space="preserve">. </w:t>
      </w:r>
    </w:p>
    <w:p w14:paraId="5678791A" w14:textId="77777777" w:rsidR="008B0067" w:rsidRPr="00EB1813" w:rsidRDefault="008B0067" w:rsidP="007A00F7">
      <w:pPr>
        <w:pStyle w:val="ListParagraph"/>
        <w:tabs>
          <w:tab w:val="left" w:pos="10348"/>
        </w:tabs>
        <w:spacing w:after="200" w:line="276" w:lineRule="auto"/>
        <w:ind w:left="1080"/>
        <w:rPr>
          <w:rFonts w:eastAsia="Calibri"/>
        </w:rPr>
      </w:pPr>
    </w:p>
    <w:p w14:paraId="27E80B43" w14:textId="5648B13C" w:rsidR="00EA2556" w:rsidRDefault="00EA2556" w:rsidP="00B71D8D">
      <w:pPr>
        <w:pStyle w:val="ListParagraph"/>
        <w:numPr>
          <w:ilvl w:val="0"/>
          <w:numId w:val="52"/>
        </w:numPr>
        <w:tabs>
          <w:tab w:val="left" w:pos="10348"/>
        </w:tabs>
        <w:ind w:hanging="720"/>
      </w:pPr>
      <w:r w:rsidRPr="00EB1813">
        <w:t>Contributions from small developments permitted at the start of the</w:t>
      </w:r>
      <w:r w:rsidR="00335F59" w:rsidRPr="00EB1813">
        <w:t xml:space="preserve"> financial</w:t>
      </w:r>
      <w:r w:rsidRPr="00EB1813">
        <w:t xml:space="preserve"> year may be </w:t>
      </w:r>
      <w:r w:rsidR="00B51EDB" w:rsidRPr="00EB1813">
        <w:t xml:space="preserve">entered into / secured </w:t>
      </w:r>
      <w:r w:rsidRPr="00EB1813">
        <w:t xml:space="preserve">and the monies received, allocated and spent within the </w:t>
      </w:r>
      <w:r w:rsidR="00B51EDB" w:rsidRPr="00EB1813">
        <w:t xml:space="preserve">same financial </w:t>
      </w:r>
      <w:r w:rsidRPr="00EB1813">
        <w:t>year. However, contributions may be collected in instalments, from a variety of developments and it may be a number of years before they can be spent.</w:t>
      </w:r>
      <w:r w:rsidR="00C95C7B" w:rsidRPr="00EB1813">
        <w:t xml:space="preserve"> </w:t>
      </w:r>
    </w:p>
    <w:p w14:paraId="79D25B01" w14:textId="77777777" w:rsidR="00B71D8D" w:rsidRDefault="00B71D8D" w:rsidP="007A00F7">
      <w:pPr>
        <w:pStyle w:val="ListParagraph"/>
        <w:tabs>
          <w:tab w:val="left" w:pos="10348"/>
        </w:tabs>
      </w:pPr>
    </w:p>
    <w:p w14:paraId="0C04D34C" w14:textId="3DC44169" w:rsidR="00EA2556" w:rsidRDefault="00ED108F">
      <w:pPr>
        <w:pStyle w:val="ListParagraph"/>
        <w:numPr>
          <w:ilvl w:val="0"/>
          <w:numId w:val="52"/>
        </w:numPr>
        <w:tabs>
          <w:tab w:val="left" w:pos="10348"/>
        </w:tabs>
        <w:ind w:hanging="720"/>
      </w:pPr>
      <w:r>
        <w:t xml:space="preserve">The </w:t>
      </w:r>
      <w:r w:rsidR="00EA2556" w:rsidRPr="00B51EDB">
        <w:t xml:space="preserve">figures in Table 2 do not take account of direct provision by developers on-site, for example affordable homes or open space. </w:t>
      </w:r>
      <w:r w:rsidR="005C5FB4">
        <w:t xml:space="preserve">This information is provided later in this section. </w:t>
      </w:r>
      <w:r w:rsidR="00EA2556" w:rsidRPr="00B51EDB">
        <w:t xml:space="preserve">  </w:t>
      </w:r>
    </w:p>
    <w:p w14:paraId="4600F0D9" w14:textId="77777777" w:rsidR="00572449" w:rsidRDefault="00572449" w:rsidP="00572449">
      <w:pPr>
        <w:pStyle w:val="ListParagraph"/>
      </w:pPr>
    </w:p>
    <w:p w14:paraId="2139EB34" w14:textId="77777777" w:rsidR="00572449" w:rsidRDefault="00572449" w:rsidP="00572449">
      <w:pPr>
        <w:tabs>
          <w:tab w:val="left" w:pos="10348"/>
        </w:tabs>
      </w:pPr>
    </w:p>
    <w:p w14:paraId="04D61D11" w14:textId="77777777" w:rsidR="00572449" w:rsidRDefault="00572449" w:rsidP="00572449">
      <w:pPr>
        <w:tabs>
          <w:tab w:val="left" w:pos="10348"/>
        </w:tabs>
      </w:pPr>
    </w:p>
    <w:p w14:paraId="384FC0A8" w14:textId="77777777" w:rsidR="00572449" w:rsidRPr="00B51EDB" w:rsidRDefault="00572449" w:rsidP="00572449">
      <w:pPr>
        <w:tabs>
          <w:tab w:val="left" w:pos="10348"/>
        </w:tabs>
      </w:pPr>
    </w:p>
    <w:p w14:paraId="2DA80B9B" w14:textId="77777777" w:rsidR="00425381" w:rsidRPr="007A079F" w:rsidRDefault="00425381" w:rsidP="00425381">
      <w:pPr>
        <w:tabs>
          <w:tab w:val="left" w:pos="10348"/>
        </w:tabs>
        <w:spacing w:after="0"/>
        <w:ind w:hanging="709"/>
      </w:pPr>
    </w:p>
    <w:p w14:paraId="211F60CF" w14:textId="1756DA78" w:rsidR="00CF4185" w:rsidRPr="007A079F" w:rsidRDefault="00CF4185" w:rsidP="00A86FCC">
      <w:pPr>
        <w:pStyle w:val="Style3"/>
      </w:pPr>
      <w:bookmarkStart w:id="30" w:name="_Toc62123874"/>
      <w:bookmarkStart w:id="31" w:name="_Toc88564890"/>
      <w:bookmarkStart w:id="32" w:name="_Toc96957123"/>
      <w:bookmarkStart w:id="33" w:name="_Toc179279252"/>
      <w:bookmarkStart w:id="34" w:name="_Hlk59004951"/>
      <w:r w:rsidRPr="007A079F">
        <w:t xml:space="preserve">Table </w:t>
      </w:r>
      <w:r w:rsidR="007360BC" w:rsidRPr="007A079F">
        <w:t>2</w:t>
      </w:r>
      <w:r w:rsidRPr="007A079F">
        <w:t xml:space="preserve">: </w:t>
      </w:r>
      <w:bookmarkStart w:id="35" w:name="_Hlk61516051"/>
      <w:r w:rsidR="00D54FB0" w:rsidRPr="007A079F">
        <w:t>Financial</w:t>
      </w:r>
      <w:r w:rsidR="00C5256C" w:rsidRPr="007A079F">
        <w:t xml:space="preserve"> </w:t>
      </w:r>
      <w:r w:rsidRPr="007A079F">
        <w:t xml:space="preserve">Contributions </w:t>
      </w:r>
      <w:r w:rsidR="00C5256C" w:rsidRPr="007A079F">
        <w:t>Data for the</w:t>
      </w:r>
      <w:r w:rsidRPr="007A079F">
        <w:t xml:space="preserve"> 20</w:t>
      </w:r>
      <w:r w:rsidR="00F80CBF">
        <w:t>23/24</w:t>
      </w:r>
      <w:r w:rsidRPr="007A079F">
        <w:t xml:space="preserve"> Reporting Year</w:t>
      </w:r>
      <w:bookmarkEnd w:id="30"/>
      <w:bookmarkEnd w:id="31"/>
      <w:bookmarkEnd w:id="32"/>
      <w:bookmarkEnd w:id="33"/>
    </w:p>
    <w:tbl>
      <w:tblPr>
        <w:tblStyle w:val="TableGrid"/>
        <w:tblW w:w="0" w:type="auto"/>
        <w:tblLook w:val="04A0" w:firstRow="1" w:lastRow="0" w:firstColumn="1" w:lastColumn="0" w:noHBand="0" w:noVBand="1"/>
      </w:tblPr>
      <w:tblGrid>
        <w:gridCol w:w="4815"/>
        <w:gridCol w:w="4201"/>
      </w:tblGrid>
      <w:tr w:rsidR="00CF4185" w:rsidRPr="00FC2E76" w14:paraId="105DFF4A" w14:textId="77777777" w:rsidTr="2182E206">
        <w:tc>
          <w:tcPr>
            <w:tcW w:w="4815" w:type="dxa"/>
            <w:shd w:val="clear" w:color="auto" w:fill="00B050"/>
          </w:tcPr>
          <w:bookmarkEnd w:id="35"/>
          <w:p w14:paraId="4BD19E72" w14:textId="345CE00D" w:rsidR="00CF4185" w:rsidRPr="000716DE" w:rsidRDefault="00184067" w:rsidP="00651354">
            <w:pPr>
              <w:rPr>
                <w:b/>
                <w:bCs/>
                <w:color w:val="FFFFFF" w:themeColor="background1"/>
              </w:rPr>
            </w:pPr>
            <w:r w:rsidRPr="000716DE">
              <w:rPr>
                <w:b/>
                <w:bCs/>
                <w:color w:val="FFFFFF" w:themeColor="background1"/>
              </w:rPr>
              <w:t xml:space="preserve">Financial Contributions </w:t>
            </w:r>
          </w:p>
        </w:tc>
        <w:tc>
          <w:tcPr>
            <w:tcW w:w="4201" w:type="dxa"/>
            <w:shd w:val="clear" w:color="auto" w:fill="00B050"/>
          </w:tcPr>
          <w:p w14:paraId="43B84C90" w14:textId="77777777" w:rsidR="00CF4185" w:rsidRPr="000716DE" w:rsidRDefault="00CF4185" w:rsidP="00651354">
            <w:pPr>
              <w:rPr>
                <w:b/>
                <w:bCs/>
                <w:color w:val="FFFFFF" w:themeColor="background1"/>
              </w:rPr>
            </w:pPr>
            <w:r w:rsidRPr="000716DE">
              <w:rPr>
                <w:b/>
                <w:bCs/>
                <w:color w:val="FFFFFF" w:themeColor="background1"/>
              </w:rPr>
              <w:t>Total Amount</w:t>
            </w:r>
          </w:p>
        </w:tc>
      </w:tr>
      <w:tr w:rsidR="00CF4185" w:rsidRPr="00FC2E76" w14:paraId="73DD78F6" w14:textId="77777777" w:rsidTr="2182E206">
        <w:tc>
          <w:tcPr>
            <w:tcW w:w="4815" w:type="dxa"/>
          </w:tcPr>
          <w:p w14:paraId="01177E99" w14:textId="7EE8F4EA" w:rsidR="00CF4185" w:rsidRPr="000716DE" w:rsidRDefault="00CF4185" w:rsidP="00651354">
            <w:pPr>
              <w:rPr>
                <w:b/>
                <w:bCs/>
              </w:rPr>
            </w:pPr>
            <w:r w:rsidRPr="000716DE">
              <w:rPr>
                <w:b/>
                <w:bCs/>
              </w:rPr>
              <w:t>Entered into*</w:t>
            </w:r>
            <w:r w:rsidRPr="000716DE">
              <w:rPr>
                <w:b/>
                <w:bCs/>
                <w:vertAlign w:val="superscript"/>
              </w:rPr>
              <w:t>1</w:t>
            </w:r>
          </w:p>
        </w:tc>
        <w:tc>
          <w:tcPr>
            <w:tcW w:w="4201" w:type="dxa"/>
          </w:tcPr>
          <w:p w14:paraId="7D605658" w14:textId="1D8E477A" w:rsidR="00CF4185" w:rsidRPr="00E32C55" w:rsidRDefault="00F6623B" w:rsidP="00651354">
            <w:pPr>
              <w:rPr>
                <w:b/>
                <w:bCs/>
              </w:rPr>
            </w:pPr>
            <w:r w:rsidRPr="00E32C55">
              <w:rPr>
                <w:b/>
                <w:bCs/>
              </w:rPr>
              <w:t>£</w:t>
            </w:r>
            <w:r w:rsidR="006D5564" w:rsidRPr="00E32C55">
              <w:rPr>
                <w:b/>
                <w:bCs/>
              </w:rPr>
              <w:t>1,4</w:t>
            </w:r>
            <w:r w:rsidR="00D16C75" w:rsidRPr="00E32C55">
              <w:rPr>
                <w:b/>
                <w:bCs/>
              </w:rPr>
              <w:t>76</w:t>
            </w:r>
            <w:r w:rsidR="006D5564" w:rsidRPr="00E32C55">
              <w:rPr>
                <w:b/>
                <w:bCs/>
              </w:rPr>
              <w:t>,</w:t>
            </w:r>
            <w:r w:rsidR="00D16C75" w:rsidRPr="00E32C55">
              <w:rPr>
                <w:b/>
                <w:bCs/>
              </w:rPr>
              <w:t>820</w:t>
            </w:r>
            <w:r w:rsidR="006D5564" w:rsidRPr="00E32C55">
              <w:rPr>
                <w:b/>
                <w:bCs/>
              </w:rPr>
              <w:t>.</w:t>
            </w:r>
            <w:r w:rsidR="00D16C75" w:rsidRPr="00E32C55">
              <w:rPr>
                <w:b/>
                <w:bCs/>
              </w:rPr>
              <w:t>67</w:t>
            </w:r>
            <w:r w:rsidR="00977F7F" w:rsidRPr="00E32C55">
              <w:rPr>
                <w:b/>
                <w:bCs/>
              </w:rPr>
              <w:t xml:space="preserve"> </w:t>
            </w:r>
          </w:p>
        </w:tc>
      </w:tr>
      <w:tr w:rsidR="00CF4185" w:rsidRPr="00FC2E76" w14:paraId="1568DC96" w14:textId="77777777" w:rsidTr="2182E206">
        <w:tc>
          <w:tcPr>
            <w:tcW w:w="4815" w:type="dxa"/>
          </w:tcPr>
          <w:p w14:paraId="127658A6" w14:textId="4A08BE34" w:rsidR="00CF4185" w:rsidRPr="00B02457" w:rsidRDefault="00CF4185" w:rsidP="00651354">
            <w:pPr>
              <w:rPr>
                <w:b/>
                <w:bCs/>
              </w:rPr>
            </w:pPr>
            <w:r w:rsidRPr="00B02457">
              <w:rPr>
                <w:b/>
                <w:bCs/>
              </w:rPr>
              <w:t>Received</w:t>
            </w:r>
          </w:p>
        </w:tc>
        <w:tc>
          <w:tcPr>
            <w:tcW w:w="4201" w:type="dxa"/>
          </w:tcPr>
          <w:p w14:paraId="6133A5B4" w14:textId="4A55E92C" w:rsidR="00CF4185" w:rsidRPr="00E32C55" w:rsidRDefault="00B670A1" w:rsidP="00651354">
            <w:pPr>
              <w:rPr>
                <w:b/>
                <w:bCs/>
              </w:rPr>
            </w:pPr>
            <w:r w:rsidRPr="00E32C55">
              <w:rPr>
                <w:b/>
                <w:bCs/>
              </w:rPr>
              <w:t>£</w:t>
            </w:r>
            <w:r w:rsidR="00723832" w:rsidRPr="00E32C55">
              <w:rPr>
                <w:b/>
                <w:bCs/>
              </w:rPr>
              <w:t>3,</w:t>
            </w:r>
            <w:r w:rsidR="00F44C36" w:rsidRPr="00E32C55">
              <w:rPr>
                <w:b/>
                <w:bCs/>
              </w:rPr>
              <w:t>389,669</w:t>
            </w:r>
            <w:r w:rsidR="00713B06" w:rsidRPr="00E32C55">
              <w:rPr>
                <w:b/>
                <w:bCs/>
              </w:rPr>
              <w:t>.92</w:t>
            </w:r>
            <w:r w:rsidR="00977F7F" w:rsidRPr="00E32C55">
              <w:rPr>
                <w:b/>
                <w:bCs/>
              </w:rPr>
              <w:t xml:space="preserve"> </w:t>
            </w:r>
          </w:p>
        </w:tc>
      </w:tr>
      <w:tr w:rsidR="00B659CD" w:rsidRPr="00FC2E76" w14:paraId="50C39E92" w14:textId="77777777" w:rsidTr="2182E206">
        <w:tc>
          <w:tcPr>
            <w:tcW w:w="4815" w:type="dxa"/>
          </w:tcPr>
          <w:p w14:paraId="7E47669C" w14:textId="4C759AD8" w:rsidR="00B659CD" w:rsidRPr="008F06B1" w:rsidRDefault="00B659CD" w:rsidP="00651354">
            <w:pPr>
              <w:rPr>
                <w:b/>
                <w:bCs/>
              </w:rPr>
            </w:pPr>
            <w:r w:rsidRPr="008F06B1">
              <w:rPr>
                <w:b/>
                <w:bCs/>
              </w:rPr>
              <w:t>Allocated</w:t>
            </w:r>
          </w:p>
        </w:tc>
        <w:tc>
          <w:tcPr>
            <w:tcW w:w="4201" w:type="dxa"/>
          </w:tcPr>
          <w:p w14:paraId="14385939" w14:textId="76F6DD40" w:rsidR="00B659CD" w:rsidRPr="00E32C55" w:rsidRDefault="005E37FC" w:rsidP="00651354">
            <w:pPr>
              <w:rPr>
                <w:b/>
                <w:bCs/>
              </w:rPr>
            </w:pPr>
            <w:r w:rsidRPr="00E32C55">
              <w:rPr>
                <w:b/>
                <w:bCs/>
              </w:rPr>
              <w:t>£</w:t>
            </w:r>
            <w:r w:rsidR="000D171F" w:rsidRPr="00E32C55">
              <w:rPr>
                <w:b/>
                <w:bCs/>
              </w:rPr>
              <w:t>1</w:t>
            </w:r>
            <w:r w:rsidR="00C106C3" w:rsidRPr="00E32C55">
              <w:rPr>
                <w:b/>
                <w:bCs/>
              </w:rPr>
              <w:t>,077,998.10</w:t>
            </w:r>
            <w:r w:rsidR="00977F7F" w:rsidRPr="00E32C55">
              <w:rPr>
                <w:b/>
                <w:bCs/>
              </w:rPr>
              <w:t xml:space="preserve"> </w:t>
            </w:r>
          </w:p>
        </w:tc>
      </w:tr>
      <w:tr w:rsidR="005A14A7" w:rsidRPr="00CC2D77" w14:paraId="4B09FACD" w14:textId="77777777" w:rsidTr="2182E206">
        <w:trPr>
          <w:trHeight w:val="253"/>
        </w:trPr>
        <w:tc>
          <w:tcPr>
            <w:tcW w:w="4815" w:type="dxa"/>
          </w:tcPr>
          <w:p w14:paraId="72E31312" w14:textId="77777777" w:rsidR="005A14A7" w:rsidRPr="009B3585" w:rsidRDefault="005A14A7" w:rsidP="005A14A7">
            <w:pPr>
              <w:rPr>
                <w:b/>
                <w:bCs/>
              </w:rPr>
            </w:pPr>
            <w:r w:rsidRPr="009B3585">
              <w:rPr>
                <w:b/>
                <w:bCs/>
              </w:rPr>
              <w:t>Spent</w:t>
            </w:r>
            <w:r w:rsidRPr="009B3585">
              <w:rPr>
                <w:b/>
                <w:bCs/>
                <w:vertAlign w:val="superscript"/>
              </w:rPr>
              <w:t>*2</w:t>
            </w:r>
          </w:p>
        </w:tc>
        <w:tc>
          <w:tcPr>
            <w:tcW w:w="4201" w:type="dxa"/>
          </w:tcPr>
          <w:p w14:paraId="0C5F9CAB" w14:textId="0614D3C3" w:rsidR="005A14A7" w:rsidRPr="00E32C55" w:rsidRDefault="00B670A1" w:rsidP="005A14A7">
            <w:pPr>
              <w:rPr>
                <w:b/>
                <w:bCs/>
              </w:rPr>
            </w:pPr>
            <w:r w:rsidRPr="00E32C55">
              <w:rPr>
                <w:b/>
                <w:bCs/>
              </w:rPr>
              <w:t>£</w:t>
            </w:r>
            <w:r w:rsidR="00C65B2F" w:rsidRPr="00E32C55">
              <w:rPr>
                <w:b/>
                <w:bCs/>
              </w:rPr>
              <w:t>3,054,524.59</w:t>
            </w:r>
          </w:p>
        </w:tc>
      </w:tr>
    </w:tbl>
    <w:p w14:paraId="26BF37A4" w14:textId="16D24A55" w:rsidR="00CF4185" w:rsidRPr="00F20A58" w:rsidRDefault="00CF4185" w:rsidP="00CF4185">
      <w:pPr>
        <w:tabs>
          <w:tab w:val="left" w:pos="8789"/>
          <w:tab w:val="left" w:pos="12450"/>
        </w:tabs>
        <w:spacing w:after="0"/>
      </w:pPr>
      <w:r w:rsidRPr="2934EBA0">
        <w:t xml:space="preserve">*1 </w:t>
      </w:r>
      <w:r w:rsidR="00D54FB0" w:rsidRPr="2934EBA0">
        <w:t xml:space="preserve">– This may increase as it does </w:t>
      </w:r>
      <w:r w:rsidRPr="2934EBA0">
        <w:t>not take account of indexation (inflation / deflation) that may be applied when the monies are due</w:t>
      </w:r>
      <w:r w:rsidR="00EF13EE" w:rsidRPr="2934EBA0">
        <w:t xml:space="preserve"> </w:t>
      </w:r>
    </w:p>
    <w:p w14:paraId="7BC525DF" w14:textId="0D7D1709" w:rsidR="00D54FB0" w:rsidRPr="00F20A58" w:rsidRDefault="00D54FB0" w:rsidP="007A00F7">
      <w:pPr>
        <w:tabs>
          <w:tab w:val="left" w:pos="9026"/>
          <w:tab w:val="left" w:pos="12450"/>
        </w:tabs>
        <w:spacing w:after="0"/>
      </w:pPr>
      <w:r w:rsidRPr="2934EBA0">
        <w:t xml:space="preserve">*2 – </w:t>
      </w:r>
      <w:r w:rsidR="00DB1651" w:rsidRPr="2934EBA0">
        <w:t>Does not include</w:t>
      </w:r>
      <w:r w:rsidRPr="2934EBA0">
        <w:t xml:space="preserve"> </w:t>
      </w:r>
      <w:r w:rsidR="00F241BE" w:rsidRPr="2934EBA0">
        <w:t>monies</w:t>
      </w:r>
      <w:r w:rsidRPr="2934EBA0">
        <w:t xml:space="preserve"> spent by a third party </w:t>
      </w:r>
      <w:r w:rsidR="00DB1651" w:rsidRPr="2934EBA0">
        <w:t>(</w:t>
      </w:r>
      <w:r w:rsidRPr="2934EBA0">
        <w:t>e.g. Bird Aware Solent</w:t>
      </w:r>
      <w:r w:rsidR="00114229" w:rsidRPr="2934EBA0">
        <w:t xml:space="preserve"> / transport contributions – see Table 3 for further details</w:t>
      </w:r>
      <w:r w:rsidR="00623571" w:rsidRPr="2934EBA0">
        <w:t>)</w:t>
      </w:r>
      <w:r w:rsidR="00F217AE" w:rsidRPr="2934EBA0">
        <w:t xml:space="preserve"> nor monies internally transferred within Eastleigh Borough Council for supervision and maintenance of open spaces and play areas.</w:t>
      </w:r>
    </w:p>
    <w:p w14:paraId="51F0C352" w14:textId="77777777" w:rsidR="00425381" w:rsidRPr="00CC2D77" w:rsidRDefault="00425381" w:rsidP="00425381">
      <w:pPr>
        <w:tabs>
          <w:tab w:val="left" w:pos="8789"/>
          <w:tab w:val="left" w:pos="12450"/>
        </w:tabs>
        <w:spacing w:after="0"/>
        <w:rPr>
          <w:highlight w:val="yellow"/>
        </w:rPr>
      </w:pPr>
    </w:p>
    <w:bookmarkEnd w:id="34"/>
    <w:p w14:paraId="18C2397B" w14:textId="4C94824A" w:rsidR="00812BEA" w:rsidRDefault="00EE3593" w:rsidP="00B71D8D">
      <w:pPr>
        <w:pStyle w:val="ListParagraph"/>
        <w:numPr>
          <w:ilvl w:val="0"/>
          <w:numId w:val="52"/>
        </w:numPr>
        <w:tabs>
          <w:tab w:val="left" w:pos="10348"/>
        </w:tabs>
        <w:ind w:hanging="720"/>
      </w:pPr>
      <w:r>
        <w:t>I</w:t>
      </w:r>
      <w:r w:rsidR="00C8620D">
        <w:t>t is recognised that taken on their own that the figures</w:t>
      </w:r>
      <w:r w:rsidR="00CF4185">
        <w:t xml:space="preserve"> in Table </w:t>
      </w:r>
      <w:r w:rsidR="007360BC">
        <w:t>2</w:t>
      </w:r>
      <w:r w:rsidR="00C8620D">
        <w:t xml:space="preserve"> may be difficult to quantify or interpret. </w:t>
      </w:r>
      <w:bookmarkStart w:id="36" w:name="_Hlk94274572"/>
      <w:r>
        <w:t xml:space="preserve">In broadly explaining the headline figures in Table </w:t>
      </w:r>
      <w:r w:rsidR="0081493F">
        <w:t>2</w:t>
      </w:r>
      <w:r>
        <w:t xml:space="preserve">, </w:t>
      </w:r>
      <w:r w:rsidR="0077559D">
        <w:t xml:space="preserve">the figure </w:t>
      </w:r>
      <w:r w:rsidR="0077559D" w:rsidRPr="008F06B1">
        <w:t xml:space="preserve">of </w:t>
      </w:r>
      <w:r w:rsidR="005E37FC" w:rsidRPr="00FC4753">
        <w:rPr>
          <w:b/>
          <w:bCs/>
        </w:rPr>
        <w:t>£</w:t>
      </w:r>
      <w:r w:rsidR="00E23795">
        <w:rPr>
          <w:b/>
          <w:bCs/>
        </w:rPr>
        <w:t>1,4</w:t>
      </w:r>
      <w:r w:rsidR="00D16C75">
        <w:rPr>
          <w:b/>
          <w:bCs/>
        </w:rPr>
        <w:t>76</w:t>
      </w:r>
      <w:r w:rsidR="00E23795">
        <w:rPr>
          <w:b/>
          <w:bCs/>
        </w:rPr>
        <w:t>,</w:t>
      </w:r>
      <w:r w:rsidR="00D16C75">
        <w:rPr>
          <w:b/>
          <w:bCs/>
        </w:rPr>
        <w:t>820</w:t>
      </w:r>
      <w:r w:rsidR="00E23795">
        <w:rPr>
          <w:b/>
          <w:bCs/>
        </w:rPr>
        <w:t>.</w:t>
      </w:r>
      <w:r w:rsidR="00D16C75">
        <w:rPr>
          <w:b/>
          <w:bCs/>
        </w:rPr>
        <w:t xml:space="preserve">67 </w:t>
      </w:r>
      <w:r w:rsidR="0077559D" w:rsidRPr="008F06B1">
        <w:t>relates</w:t>
      </w:r>
      <w:r w:rsidR="0077559D">
        <w:t xml:space="preserve"> to financial contributions </w:t>
      </w:r>
      <w:r w:rsidR="00287AD0">
        <w:t>which are</w:t>
      </w:r>
      <w:r w:rsidR="00B32E18">
        <w:t xml:space="preserve"> entered into </w:t>
      </w:r>
      <w:r w:rsidR="007A079F">
        <w:t xml:space="preserve">/ secured </w:t>
      </w:r>
      <w:r w:rsidR="00C52059">
        <w:t xml:space="preserve">through an </w:t>
      </w:r>
      <w:r w:rsidR="0077559D">
        <w:t xml:space="preserve">upfront payment </w:t>
      </w:r>
      <w:r w:rsidR="00614E14">
        <w:t>in lieu of a S106</w:t>
      </w:r>
      <w:r w:rsidR="00C52059">
        <w:t>, a formal S106 agreement</w:t>
      </w:r>
      <w:r w:rsidR="00614E14">
        <w:t xml:space="preserve"> </w:t>
      </w:r>
      <w:r w:rsidR="0077559D">
        <w:t>or unilateral undertaking</w:t>
      </w:r>
      <w:r w:rsidR="00614E14">
        <w:t xml:space="preserve"> pursuant to S106 of the Town and Country Planning Act 1990</w:t>
      </w:r>
      <w:r w:rsidR="0077559D">
        <w:t xml:space="preserve">. </w:t>
      </w:r>
      <w:bookmarkEnd w:id="36"/>
    </w:p>
    <w:p w14:paraId="2C48B4D8" w14:textId="77777777" w:rsidR="00B71D8D" w:rsidRDefault="00B71D8D" w:rsidP="007A00F7">
      <w:pPr>
        <w:pStyle w:val="ListParagraph"/>
        <w:tabs>
          <w:tab w:val="left" w:pos="10348"/>
        </w:tabs>
      </w:pPr>
    </w:p>
    <w:p w14:paraId="6E8038EA" w14:textId="1038BF9D" w:rsidR="00812BEA" w:rsidRPr="009A3C9C" w:rsidRDefault="0077559D" w:rsidP="007A00F7">
      <w:pPr>
        <w:pStyle w:val="ListParagraph"/>
        <w:numPr>
          <w:ilvl w:val="0"/>
          <w:numId w:val="52"/>
        </w:numPr>
        <w:tabs>
          <w:tab w:val="left" w:pos="10348"/>
        </w:tabs>
        <w:ind w:hanging="720"/>
      </w:pPr>
      <w:r w:rsidRPr="007A079F">
        <w:t xml:space="preserve">A legal agreement sets out all of those financial contributions </w:t>
      </w:r>
      <w:r w:rsidR="00184067" w:rsidRPr="007A079F">
        <w:t xml:space="preserve">that </w:t>
      </w:r>
      <w:r w:rsidR="00812BEA" w:rsidRPr="007A079F">
        <w:t>will be due to be paid to the Council</w:t>
      </w:r>
      <w:r w:rsidRPr="007A079F">
        <w:t xml:space="preserve">. </w:t>
      </w:r>
      <w:r w:rsidR="00812BEA" w:rsidRPr="007A079F">
        <w:t>In terms of a S106 agreement, these are received by the Council</w:t>
      </w:r>
      <w:r w:rsidRPr="007A079F">
        <w:t xml:space="preserve"> once a certain trigger point </w:t>
      </w:r>
      <w:r w:rsidR="00623571" w:rsidRPr="007A079F">
        <w:t>is</w:t>
      </w:r>
      <w:r w:rsidR="00812BEA" w:rsidRPr="007A079F">
        <w:t xml:space="preserve"> </w:t>
      </w:r>
      <w:r w:rsidRPr="007A079F">
        <w:t>met</w:t>
      </w:r>
      <w:r w:rsidR="00812BEA" w:rsidRPr="007A079F">
        <w:t xml:space="preserve"> by a developer</w:t>
      </w:r>
      <w:r w:rsidRPr="007A079F">
        <w:t xml:space="preserve">. For example, upon </w:t>
      </w:r>
      <w:r w:rsidR="00812BEA" w:rsidRPr="007A079F">
        <w:t xml:space="preserve">the </w:t>
      </w:r>
      <w:r w:rsidRPr="007A079F">
        <w:t>commencement of development</w:t>
      </w:r>
      <w:r w:rsidR="00812BEA" w:rsidRPr="007A079F">
        <w:t xml:space="preserve"> or the completion of a certain percentage of homes. </w:t>
      </w:r>
      <w:r w:rsidR="00614E14" w:rsidRPr="007A079F">
        <w:t xml:space="preserve">Financial contributions received by the Council can also be paid by a developer in separate instalments as a development commences. </w:t>
      </w:r>
      <w:r w:rsidR="00EC721D" w:rsidRPr="007A079F">
        <w:t xml:space="preserve">This arrangement helps the Council meet its objective to provide infrastructure ahead of residential development </w:t>
      </w:r>
      <w:r w:rsidR="00EC721D" w:rsidRPr="009A3C9C">
        <w:t xml:space="preserve">becoming occupied. </w:t>
      </w:r>
    </w:p>
    <w:p w14:paraId="1C1F1919" w14:textId="77777777" w:rsidR="00B71D8D" w:rsidRDefault="00B71D8D" w:rsidP="007A00F7">
      <w:pPr>
        <w:pStyle w:val="ListParagraph"/>
        <w:tabs>
          <w:tab w:val="left" w:pos="10348"/>
        </w:tabs>
      </w:pPr>
    </w:p>
    <w:p w14:paraId="18B5060E" w14:textId="7976A7C5" w:rsidR="00A5197C" w:rsidRPr="00F20A58" w:rsidRDefault="006A0089" w:rsidP="007A00F7">
      <w:pPr>
        <w:pStyle w:val="ListParagraph"/>
        <w:numPr>
          <w:ilvl w:val="0"/>
          <w:numId w:val="52"/>
        </w:numPr>
        <w:tabs>
          <w:tab w:val="left" w:pos="10348"/>
        </w:tabs>
        <w:ind w:hanging="720"/>
      </w:pPr>
      <w:r w:rsidRPr="009A3C9C">
        <w:t>In order to justify and secure contributions in a legal S106 agreement in the first place the Council in many cases will name a specific infrastructure project that the obligation is intended to fund</w:t>
      </w:r>
      <w:r w:rsidR="00997A3D" w:rsidRPr="0093005D">
        <w:t xml:space="preserve">. Up until September 2019, </w:t>
      </w:r>
      <w:r w:rsidR="00997A3D" w:rsidRPr="00B71D8D">
        <w:rPr>
          <w:color w:val="282828"/>
          <w:shd w:val="clear" w:color="auto" w:fill="FFFFFF"/>
        </w:rPr>
        <w:t xml:space="preserve">Councils were capped up to a maximum of five S106 contributions to fund </w:t>
      </w:r>
      <w:r w:rsidR="00184067" w:rsidRPr="00B71D8D">
        <w:rPr>
          <w:color w:val="282828"/>
          <w:shd w:val="clear" w:color="auto" w:fill="FFFFFF"/>
        </w:rPr>
        <w:t xml:space="preserve">the same item of infrastructure due </w:t>
      </w:r>
      <w:r w:rsidR="00997A3D" w:rsidRPr="00B71D8D">
        <w:rPr>
          <w:color w:val="282828"/>
          <w:shd w:val="clear" w:color="auto" w:fill="FFFFFF"/>
        </w:rPr>
        <w:t>to pooling restrictions that were in place.</w:t>
      </w:r>
      <w:r w:rsidR="00997A3D" w:rsidRPr="2934EBA0">
        <w:rPr>
          <w:color w:val="282828"/>
          <w:shd w:val="clear" w:color="auto" w:fill="FFFFFF"/>
        </w:rPr>
        <w:t xml:space="preserve"> </w:t>
      </w:r>
      <w:r w:rsidRPr="00FC2E76">
        <w:t xml:space="preserve">Funds are often ‘earmarked’ for specific </w:t>
      </w:r>
      <w:r w:rsidR="00A5197C" w:rsidRPr="00FC2E76">
        <w:t xml:space="preserve">purposes or </w:t>
      </w:r>
      <w:r w:rsidRPr="00FC2E76">
        <w:t xml:space="preserve">projects but will not show in this report as formally ‘allocated’, which is a subsequent stage in the process, sometimes </w:t>
      </w:r>
      <w:r w:rsidR="00184067" w:rsidRPr="00FC2E76">
        <w:t xml:space="preserve">not until </w:t>
      </w:r>
      <w:r w:rsidRPr="00FC2E76">
        <w:t xml:space="preserve">several months later. </w:t>
      </w:r>
      <w:r w:rsidR="00A5197C" w:rsidRPr="00F20A58">
        <w:t xml:space="preserve">(See </w:t>
      </w:r>
      <w:r w:rsidR="00AF4D38">
        <w:t>later</w:t>
      </w:r>
      <w:r w:rsidR="00A5197C" w:rsidRPr="00F20A58">
        <w:t xml:space="preserve"> in this </w:t>
      </w:r>
      <w:r w:rsidR="00882B33">
        <w:t>s</w:t>
      </w:r>
      <w:r w:rsidR="00AF4D38">
        <w:t>ection</w:t>
      </w:r>
      <w:r w:rsidR="00A5197C" w:rsidRPr="00F20A58">
        <w:t xml:space="preserve"> for examples of earmarking of funds for purposes or projects.) </w:t>
      </w:r>
    </w:p>
    <w:p w14:paraId="222F5D97" w14:textId="77777777" w:rsidR="00B71D8D" w:rsidRDefault="00B71D8D" w:rsidP="007A00F7">
      <w:pPr>
        <w:pStyle w:val="ListParagraph"/>
        <w:tabs>
          <w:tab w:val="left" w:pos="10348"/>
        </w:tabs>
      </w:pPr>
    </w:p>
    <w:p w14:paraId="5EE17338" w14:textId="580F1F89" w:rsidR="00ED108F" w:rsidRPr="007A079F" w:rsidRDefault="00812BEA" w:rsidP="007A00F7">
      <w:pPr>
        <w:pStyle w:val="ListParagraph"/>
        <w:numPr>
          <w:ilvl w:val="0"/>
          <w:numId w:val="52"/>
        </w:numPr>
        <w:tabs>
          <w:tab w:val="left" w:pos="10348"/>
        </w:tabs>
        <w:ind w:hanging="720"/>
      </w:pPr>
      <w:r w:rsidRPr="007A079F">
        <w:t xml:space="preserve">The received monies are allocated </w:t>
      </w:r>
      <w:r w:rsidR="006A0089" w:rsidRPr="007A079F">
        <w:t xml:space="preserve">to an infrastructure scheme by formal decision of </w:t>
      </w:r>
      <w:r w:rsidRPr="007A079F">
        <w:t xml:space="preserve">the Council’s </w:t>
      </w:r>
      <w:r w:rsidR="007A079F" w:rsidRPr="007A079F">
        <w:t xml:space="preserve">five </w:t>
      </w:r>
      <w:r w:rsidRPr="007A079F">
        <w:t xml:space="preserve">Local Area Committees but only once these are ready to be spent on a defined project. </w:t>
      </w:r>
      <w:r w:rsidR="00623571" w:rsidRPr="007A079F">
        <w:t xml:space="preserve">The gap in timing </w:t>
      </w:r>
      <w:r w:rsidRPr="007A079F">
        <w:t>for financial contributions received to</w:t>
      </w:r>
      <w:r w:rsidR="00623571" w:rsidRPr="007A079F">
        <w:t xml:space="preserve"> then be formally </w:t>
      </w:r>
      <w:r w:rsidRPr="007A079F">
        <w:t>allocated</w:t>
      </w:r>
      <w:r w:rsidR="00287AD0" w:rsidRPr="007A079F">
        <w:t xml:space="preserve"> and subsequently spent</w:t>
      </w:r>
      <w:r w:rsidRPr="007A079F">
        <w:t xml:space="preserve"> </w:t>
      </w:r>
      <w:r w:rsidR="00623571" w:rsidRPr="007A079F">
        <w:t xml:space="preserve">may be </w:t>
      </w:r>
      <w:r w:rsidRPr="007A079F">
        <w:t xml:space="preserve">due to </w:t>
      </w:r>
      <w:r w:rsidR="00623571" w:rsidRPr="007A079F">
        <w:t xml:space="preserve">the need to bridge </w:t>
      </w:r>
      <w:r w:rsidRPr="007A079F">
        <w:t>a funding gap, aligning service</w:t>
      </w:r>
      <w:r w:rsidR="00623571" w:rsidRPr="007A079F">
        <w:t xml:space="preserve">s </w:t>
      </w:r>
      <w:r w:rsidRPr="007A079F">
        <w:t>and priorities with a range of external agencies such that a detailed project plan can be dr</w:t>
      </w:r>
      <w:r w:rsidR="00623571" w:rsidRPr="007A079F">
        <w:t>a</w:t>
      </w:r>
      <w:r w:rsidRPr="007A079F">
        <w:t xml:space="preserve">fted, approved, and then, with the funding at that point, formally </w:t>
      </w:r>
      <w:r w:rsidR="00623571" w:rsidRPr="007A079F">
        <w:t>implemented.</w:t>
      </w:r>
      <w:r w:rsidRPr="007A079F">
        <w:t xml:space="preserve"> </w:t>
      </w:r>
    </w:p>
    <w:p w14:paraId="56B753EE" w14:textId="77777777" w:rsidR="00B71D8D" w:rsidRDefault="00B71D8D" w:rsidP="007A00F7">
      <w:pPr>
        <w:pStyle w:val="ListParagraph"/>
        <w:spacing w:after="0"/>
      </w:pPr>
      <w:bookmarkStart w:id="37" w:name="_Hlk59019173"/>
    </w:p>
    <w:p w14:paraId="7F99BC35" w14:textId="5739A50F" w:rsidR="008C3479" w:rsidRPr="00B469EC" w:rsidRDefault="00E1151D" w:rsidP="007A00F7">
      <w:pPr>
        <w:pStyle w:val="ListParagraph"/>
        <w:numPr>
          <w:ilvl w:val="0"/>
          <w:numId w:val="52"/>
        </w:numPr>
        <w:spacing w:after="0"/>
        <w:ind w:hanging="720"/>
      </w:pPr>
      <w:r w:rsidRPr="00B469EC">
        <w:t xml:space="preserve">Table </w:t>
      </w:r>
      <w:r w:rsidR="007360BC" w:rsidRPr="00B469EC">
        <w:t>3</w:t>
      </w:r>
      <w:r w:rsidRPr="00B469EC">
        <w:t xml:space="preserve"> provides a further breakdown of the </w:t>
      </w:r>
      <w:r w:rsidR="003E7390" w:rsidRPr="00B469EC">
        <w:t>figures</w:t>
      </w:r>
      <w:r w:rsidRPr="00B469EC">
        <w:t xml:space="preserve"> </w:t>
      </w:r>
      <w:r w:rsidR="007A079F" w:rsidRPr="00B469EC">
        <w:t xml:space="preserve">shown </w:t>
      </w:r>
      <w:r w:rsidRPr="00B469EC">
        <w:t xml:space="preserve">in Table </w:t>
      </w:r>
      <w:r w:rsidR="007360BC" w:rsidRPr="00B469EC">
        <w:t>2</w:t>
      </w:r>
      <w:r w:rsidRPr="00B469EC">
        <w:t xml:space="preserve"> by infrastructure type.</w:t>
      </w:r>
      <w:bookmarkEnd w:id="37"/>
      <w:r w:rsidR="000A0CD0" w:rsidRPr="00B469EC">
        <w:t xml:space="preserve"> It is important to note from the outset, and as explained earlier in this IFS, that </w:t>
      </w:r>
      <w:r w:rsidR="003E6ED7" w:rsidRPr="00B469EC">
        <w:t xml:space="preserve">infrastructure can be provided for directly by the developer through a planning obligation without the need for a financial contribution to be paid to the Council, and subsequently, these are not </w:t>
      </w:r>
      <w:r w:rsidR="00B0361A" w:rsidRPr="00B469EC">
        <w:t>accounted for in this table</w:t>
      </w:r>
      <w:r w:rsidR="000A0CD0" w:rsidRPr="00B469EC">
        <w:t xml:space="preserve">. This </w:t>
      </w:r>
      <w:r w:rsidR="00287AD0" w:rsidRPr="00B469EC">
        <w:t>mostly</w:t>
      </w:r>
      <w:r w:rsidR="000A0CD0" w:rsidRPr="00B469EC">
        <w:t xml:space="preserve"> includes on-site affordable housing and on-site open space and play provisio</w:t>
      </w:r>
      <w:r w:rsidR="00B0361A" w:rsidRPr="00B469EC">
        <w:t>n</w:t>
      </w:r>
      <w:r w:rsidR="00824F20" w:rsidRPr="00B469EC">
        <w:t>, and as such,</w:t>
      </w:r>
      <w:r w:rsidR="003E6ED7" w:rsidRPr="00B469EC">
        <w:t xml:space="preserve"> is</w:t>
      </w:r>
      <w:r w:rsidR="00824F20" w:rsidRPr="00B469EC">
        <w:t xml:space="preserve"> covered </w:t>
      </w:r>
      <w:r w:rsidR="007A079F">
        <w:t xml:space="preserve">separately </w:t>
      </w:r>
      <w:r w:rsidR="00824F20" w:rsidRPr="00B469EC">
        <w:t xml:space="preserve">later in this </w:t>
      </w:r>
      <w:r w:rsidR="003E6ED7" w:rsidRPr="00B469EC">
        <w:t>S</w:t>
      </w:r>
      <w:r w:rsidR="00824F20" w:rsidRPr="00B469EC">
        <w:t>ection</w:t>
      </w:r>
      <w:r w:rsidR="00B0361A" w:rsidRPr="00B469EC">
        <w:t xml:space="preserve">. </w:t>
      </w:r>
      <w:r w:rsidR="00C42A79">
        <w:t xml:space="preserve">The amount spent on </w:t>
      </w:r>
      <w:r w:rsidR="002D60EB">
        <w:t xml:space="preserve">open space and leisure includes spending on maintenance and supervision of open spaces. </w:t>
      </w:r>
    </w:p>
    <w:p w14:paraId="53C5DD13" w14:textId="2D9BA146" w:rsidR="00425381" w:rsidRDefault="00425381" w:rsidP="00425381">
      <w:pPr>
        <w:spacing w:after="0"/>
        <w:ind w:hanging="709"/>
        <w:rPr>
          <w:highlight w:val="yellow"/>
        </w:rPr>
      </w:pPr>
    </w:p>
    <w:p w14:paraId="5AF0B39C" w14:textId="28C97162" w:rsidR="005A0FEA" w:rsidRPr="002743AF" w:rsidRDefault="00236263" w:rsidP="007A00F7">
      <w:pPr>
        <w:pStyle w:val="Style3"/>
      </w:pPr>
      <w:bookmarkStart w:id="38" w:name="_Toc62123875"/>
      <w:bookmarkStart w:id="39" w:name="_Toc88564891"/>
      <w:bookmarkStart w:id="40" w:name="_Toc179279253"/>
      <w:bookmarkStart w:id="41" w:name="_Hlk59019244"/>
      <w:bookmarkStart w:id="42" w:name="_Hlk59035915"/>
      <w:r w:rsidRPr="002743AF">
        <w:t xml:space="preserve">Table </w:t>
      </w:r>
      <w:r w:rsidR="007360BC" w:rsidRPr="002743AF">
        <w:t>3</w:t>
      </w:r>
      <w:r w:rsidRPr="002743AF">
        <w:t xml:space="preserve">: </w:t>
      </w:r>
      <w:r w:rsidR="00E1151D" w:rsidRPr="002743AF">
        <w:t>Key Developer Contributions Data for</w:t>
      </w:r>
      <w:r w:rsidRPr="002743AF">
        <w:t xml:space="preserve"> the 20</w:t>
      </w:r>
      <w:r w:rsidR="00F80CBF" w:rsidRPr="002743AF">
        <w:t>23/24</w:t>
      </w:r>
      <w:r w:rsidRPr="002743AF">
        <w:t xml:space="preserve"> Reporting Year – Breakdown by Infrastructure Type</w:t>
      </w:r>
      <w:bookmarkEnd w:id="38"/>
      <w:bookmarkEnd w:id="39"/>
      <w:r w:rsidRPr="002743AF">
        <w:t xml:space="preserve"> </w:t>
      </w:r>
      <w:bookmarkEnd w:id="40"/>
    </w:p>
    <w:tbl>
      <w:tblPr>
        <w:tblStyle w:val="TableGrid"/>
        <w:tblW w:w="9493" w:type="dxa"/>
        <w:tblLayout w:type="fixed"/>
        <w:tblLook w:val="04A0" w:firstRow="1" w:lastRow="0" w:firstColumn="1" w:lastColumn="0" w:noHBand="0" w:noVBand="1"/>
      </w:tblPr>
      <w:tblGrid>
        <w:gridCol w:w="2122"/>
        <w:gridCol w:w="1842"/>
        <w:gridCol w:w="1843"/>
        <w:gridCol w:w="1843"/>
        <w:gridCol w:w="1843"/>
      </w:tblGrid>
      <w:tr w:rsidR="00CF14D4" w:rsidRPr="00CC2D77" w14:paraId="0988E7A6" w14:textId="176520E6" w:rsidTr="00CF14D4">
        <w:trPr>
          <w:cantSplit/>
          <w:trHeight w:val="1103"/>
          <w:tblHeader/>
        </w:trPr>
        <w:tc>
          <w:tcPr>
            <w:tcW w:w="2122" w:type="dxa"/>
            <w:shd w:val="clear" w:color="auto" w:fill="00B050"/>
          </w:tcPr>
          <w:p w14:paraId="02228ABA" w14:textId="77777777" w:rsidR="002232EA" w:rsidRPr="007A079F" w:rsidRDefault="002232EA" w:rsidP="00E5399F">
            <w:pPr>
              <w:jc w:val="center"/>
              <w:rPr>
                <w:b/>
                <w:bCs/>
                <w:color w:val="FFFFFF" w:themeColor="background1"/>
              </w:rPr>
            </w:pPr>
            <w:bookmarkStart w:id="43" w:name="_Hlk58596573"/>
            <w:bookmarkEnd w:id="41"/>
          </w:p>
          <w:p w14:paraId="0230BDBE" w14:textId="140710FA" w:rsidR="002232EA" w:rsidRPr="007A079F" w:rsidRDefault="002232EA" w:rsidP="00E5399F">
            <w:pPr>
              <w:jc w:val="center"/>
              <w:rPr>
                <w:b/>
                <w:bCs/>
                <w:color w:val="FFFFFF" w:themeColor="background1"/>
              </w:rPr>
            </w:pPr>
            <w:r w:rsidRPr="007A079F">
              <w:rPr>
                <w:b/>
                <w:bCs/>
                <w:color w:val="FFFFFF" w:themeColor="background1"/>
              </w:rPr>
              <w:t>Infrastructure Type</w:t>
            </w:r>
          </w:p>
          <w:p w14:paraId="22EBD009" w14:textId="77777777" w:rsidR="002232EA" w:rsidRPr="007A079F" w:rsidDel="00C53A8B" w:rsidRDefault="002232EA" w:rsidP="00E5399F">
            <w:pPr>
              <w:jc w:val="center"/>
              <w:rPr>
                <w:b/>
                <w:bCs/>
                <w:color w:val="FFFFFF" w:themeColor="background1"/>
              </w:rPr>
            </w:pPr>
          </w:p>
        </w:tc>
        <w:tc>
          <w:tcPr>
            <w:tcW w:w="1842" w:type="dxa"/>
            <w:shd w:val="clear" w:color="auto" w:fill="00B050"/>
          </w:tcPr>
          <w:p w14:paraId="397CC6A6" w14:textId="549AC307" w:rsidR="002232EA" w:rsidRPr="007A079F" w:rsidRDefault="002232EA" w:rsidP="00E5399F">
            <w:pPr>
              <w:jc w:val="center"/>
              <w:rPr>
                <w:b/>
                <w:bCs/>
                <w:color w:val="FFFFFF" w:themeColor="background1"/>
              </w:rPr>
            </w:pPr>
            <w:r>
              <w:br/>
            </w:r>
            <w:r w:rsidRPr="007A079F">
              <w:rPr>
                <w:b/>
                <w:bCs/>
                <w:color w:val="FFFFFF" w:themeColor="background1"/>
              </w:rPr>
              <w:t>Entered into (signed)*</w:t>
            </w:r>
            <w:r w:rsidRPr="007A079F">
              <w:rPr>
                <w:b/>
                <w:bCs/>
                <w:color w:val="FFFFFF" w:themeColor="background1"/>
                <w:vertAlign w:val="superscript"/>
              </w:rPr>
              <w:t>1</w:t>
            </w:r>
          </w:p>
          <w:p w14:paraId="02DD9424" w14:textId="77777777" w:rsidR="002232EA" w:rsidRPr="007A079F" w:rsidRDefault="002232EA" w:rsidP="00E5399F">
            <w:pPr>
              <w:jc w:val="center"/>
              <w:rPr>
                <w:b/>
                <w:bCs/>
              </w:rPr>
            </w:pPr>
          </w:p>
        </w:tc>
        <w:tc>
          <w:tcPr>
            <w:tcW w:w="1843" w:type="dxa"/>
            <w:shd w:val="clear" w:color="auto" w:fill="00B050"/>
          </w:tcPr>
          <w:p w14:paraId="7CDE4588" w14:textId="33CC850C" w:rsidR="002232EA" w:rsidRPr="007A079F" w:rsidRDefault="002232EA" w:rsidP="00E5399F">
            <w:pPr>
              <w:jc w:val="center"/>
              <w:rPr>
                <w:b/>
                <w:bCs/>
                <w:color w:val="FFFFFF" w:themeColor="background1"/>
              </w:rPr>
            </w:pPr>
          </w:p>
          <w:p w14:paraId="59E17F46" w14:textId="5038B836" w:rsidR="002232EA" w:rsidRPr="007A079F" w:rsidRDefault="002232EA" w:rsidP="00E5399F">
            <w:pPr>
              <w:jc w:val="center"/>
              <w:rPr>
                <w:b/>
                <w:bCs/>
                <w:color w:val="FFFFFF" w:themeColor="background1"/>
              </w:rPr>
            </w:pPr>
            <w:r w:rsidRPr="007A079F">
              <w:rPr>
                <w:b/>
                <w:bCs/>
                <w:color w:val="FFFFFF" w:themeColor="background1"/>
              </w:rPr>
              <w:t>Received</w:t>
            </w:r>
          </w:p>
        </w:tc>
        <w:tc>
          <w:tcPr>
            <w:tcW w:w="1843" w:type="dxa"/>
            <w:shd w:val="clear" w:color="auto" w:fill="00B050"/>
          </w:tcPr>
          <w:p w14:paraId="35EAF5E3" w14:textId="77777777" w:rsidR="002232EA" w:rsidRPr="007A079F" w:rsidRDefault="002232EA" w:rsidP="00E5399F">
            <w:pPr>
              <w:jc w:val="center"/>
              <w:rPr>
                <w:b/>
                <w:bCs/>
                <w:color w:val="FFFFFF" w:themeColor="background1"/>
              </w:rPr>
            </w:pPr>
          </w:p>
          <w:p w14:paraId="0E0A4BE3" w14:textId="2AFFD333" w:rsidR="002232EA" w:rsidRPr="007A079F" w:rsidRDefault="002232EA" w:rsidP="00E5399F">
            <w:pPr>
              <w:jc w:val="center"/>
              <w:rPr>
                <w:b/>
                <w:bCs/>
                <w:color w:val="FFFFFF" w:themeColor="background1"/>
              </w:rPr>
            </w:pPr>
            <w:r w:rsidRPr="007A079F">
              <w:rPr>
                <w:b/>
                <w:bCs/>
                <w:color w:val="FFFFFF" w:themeColor="background1"/>
              </w:rPr>
              <w:t>Allocated</w:t>
            </w:r>
          </w:p>
        </w:tc>
        <w:tc>
          <w:tcPr>
            <w:tcW w:w="1843" w:type="dxa"/>
            <w:shd w:val="clear" w:color="auto" w:fill="00B050"/>
          </w:tcPr>
          <w:p w14:paraId="4E967AB7" w14:textId="77777777" w:rsidR="006307CE" w:rsidRDefault="006307CE" w:rsidP="00E5399F">
            <w:pPr>
              <w:jc w:val="center"/>
              <w:rPr>
                <w:b/>
                <w:bCs/>
                <w:color w:val="FFFFFF" w:themeColor="background1"/>
              </w:rPr>
            </w:pPr>
          </w:p>
          <w:p w14:paraId="1DABCDF4" w14:textId="6639173E" w:rsidR="002232EA" w:rsidRPr="007A079F" w:rsidRDefault="002232EA" w:rsidP="00E5399F">
            <w:pPr>
              <w:jc w:val="center"/>
              <w:rPr>
                <w:b/>
                <w:bCs/>
                <w:color w:val="FFFFFF" w:themeColor="background1"/>
              </w:rPr>
            </w:pPr>
            <w:r w:rsidRPr="007A079F">
              <w:rPr>
                <w:b/>
                <w:bCs/>
                <w:color w:val="FFFFFF" w:themeColor="background1"/>
              </w:rPr>
              <w:t xml:space="preserve">Spent </w:t>
            </w:r>
          </w:p>
        </w:tc>
      </w:tr>
      <w:tr w:rsidR="002232EA" w:rsidRPr="00CC2D77" w14:paraId="58D728D7" w14:textId="77777777" w:rsidTr="007A00F7">
        <w:trPr>
          <w:cantSplit/>
          <w:trHeight w:val="243"/>
        </w:trPr>
        <w:tc>
          <w:tcPr>
            <w:tcW w:w="2122" w:type="dxa"/>
          </w:tcPr>
          <w:p w14:paraId="3AEDD5CA" w14:textId="77777777" w:rsidR="00F0253E" w:rsidRPr="00F20A58" w:rsidRDefault="00F0253E" w:rsidP="2934EBA0">
            <w:pPr>
              <w:shd w:val="clear" w:color="auto" w:fill="FFFFFF" w:themeFill="background1"/>
              <w:rPr>
                <w:b/>
                <w:bCs/>
              </w:rPr>
            </w:pPr>
          </w:p>
          <w:p w14:paraId="3816164A" w14:textId="2D71DADC" w:rsidR="000160CE" w:rsidRPr="00F20A58" w:rsidRDefault="002232EA" w:rsidP="2934EBA0">
            <w:pPr>
              <w:shd w:val="clear" w:color="auto" w:fill="FFFFFF" w:themeFill="background1"/>
              <w:spacing w:after="75"/>
              <w:rPr>
                <w:b/>
                <w:bCs/>
              </w:rPr>
            </w:pPr>
            <w:r w:rsidRPr="00F20A58">
              <w:rPr>
                <w:b/>
                <w:bCs/>
              </w:rPr>
              <w:t xml:space="preserve">Affordable </w:t>
            </w:r>
            <w:r w:rsidR="00606C1F" w:rsidRPr="00F20A58">
              <w:rPr>
                <w:b/>
                <w:bCs/>
              </w:rPr>
              <w:t>H</w:t>
            </w:r>
            <w:r w:rsidRPr="00F20A58">
              <w:rPr>
                <w:b/>
                <w:bCs/>
              </w:rPr>
              <w:t>ousing</w:t>
            </w:r>
          </w:p>
        </w:tc>
        <w:tc>
          <w:tcPr>
            <w:tcW w:w="1842" w:type="dxa"/>
          </w:tcPr>
          <w:p w14:paraId="10E397F5" w14:textId="77777777" w:rsidR="00F0253E" w:rsidRPr="00505ECB" w:rsidRDefault="00F0253E" w:rsidP="001657DD">
            <w:pPr>
              <w:jc w:val="center"/>
            </w:pPr>
          </w:p>
          <w:p w14:paraId="4261EEF2" w14:textId="1844BC24" w:rsidR="002232EA" w:rsidRPr="00505ECB" w:rsidRDefault="00437F2E" w:rsidP="001657DD">
            <w:pPr>
              <w:jc w:val="center"/>
            </w:pPr>
            <w:r w:rsidRPr="00505ECB">
              <w:t xml:space="preserve">  </w:t>
            </w:r>
            <w:r w:rsidR="003B1804" w:rsidRPr="00505ECB">
              <w:t>£100,000.00</w:t>
            </w:r>
          </w:p>
        </w:tc>
        <w:tc>
          <w:tcPr>
            <w:tcW w:w="1843" w:type="dxa"/>
          </w:tcPr>
          <w:p w14:paraId="443A8E83" w14:textId="77777777" w:rsidR="00F0253E" w:rsidRPr="00505ECB" w:rsidRDefault="00F0253E" w:rsidP="001657DD">
            <w:pPr>
              <w:jc w:val="center"/>
            </w:pPr>
          </w:p>
          <w:p w14:paraId="4218A07E" w14:textId="56F7876C" w:rsidR="00DB07E5" w:rsidRPr="00505ECB" w:rsidRDefault="002232EA" w:rsidP="0093005D">
            <w:pPr>
              <w:jc w:val="center"/>
            </w:pPr>
            <w:r w:rsidRPr="00505ECB">
              <w:t>£</w:t>
            </w:r>
            <w:r w:rsidR="00DB07E5" w:rsidRPr="00505ECB">
              <w:t>0</w:t>
            </w:r>
          </w:p>
        </w:tc>
        <w:tc>
          <w:tcPr>
            <w:tcW w:w="1843" w:type="dxa"/>
          </w:tcPr>
          <w:p w14:paraId="61A7E0C9" w14:textId="71131412" w:rsidR="002232EA" w:rsidRPr="00505ECB" w:rsidRDefault="002232EA" w:rsidP="001657DD">
            <w:pPr>
              <w:jc w:val="center"/>
            </w:pPr>
          </w:p>
          <w:p w14:paraId="4DCBB959" w14:textId="582692D7" w:rsidR="00DB07E5" w:rsidRPr="00505ECB" w:rsidRDefault="00DB07E5" w:rsidP="001657DD">
            <w:pPr>
              <w:jc w:val="center"/>
            </w:pPr>
            <w:r w:rsidRPr="00505ECB">
              <w:t>£0</w:t>
            </w:r>
          </w:p>
          <w:p w14:paraId="45D1CECD" w14:textId="006767A0" w:rsidR="002232EA" w:rsidRPr="00505ECB" w:rsidRDefault="002232EA" w:rsidP="001657DD">
            <w:pPr>
              <w:jc w:val="center"/>
            </w:pPr>
            <w:r w:rsidRPr="00505ECB">
              <w:t xml:space="preserve"> </w:t>
            </w:r>
          </w:p>
        </w:tc>
        <w:tc>
          <w:tcPr>
            <w:tcW w:w="1843" w:type="dxa"/>
          </w:tcPr>
          <w:p w14:paraId="2B9B5BD2" w14:textId="77777777" w:rsidR="00F0253E" w:rsidRPr="00505ECB" w:rsidRDefault="00F0253E" w:rsidP="00A955F4">
            <w:pPr>
              <w:jc w:val="center"/>
            </w:pPr>
          </w:p>
          <w:p w14:paraId="1CF75DD3" w14:textId="4FDB0854" w:rsidR="002232EA" w:rsidRPr="00505ECB" w:rsidRDefault="002232EA" w:rsidP="00A955F4">
            <w:pPr>
              <w:jc w:val="center"/>
            </w:pPr>
            <w:r w:rsidRPr="00505ECB">
              <w:t>£</w:t>
            </w:r>
            <w:r w:rsidR="0049209F" w:rsidRPr="00505ECB">
              <w:t>0</w:t>
            </w:r>
          </w:p>
        </w:tc>
      </w:tr>
      <w:tr w:rsidR="002232EA" w:rsidRPr="00CC2D77" w14:paraId="1E7C3408" w14:textId="77777777" w:rsidTr="007A00F7">
        <w:trPr>
          <w:cantSplit/>
          <w:trHeight w:val="181"/>
        </w:trPr>
        <w:tc>
          <w:tcPr>
            <w:tcW w:w="2122" w:type="dxa"/>
          </w:tcPr>
          <w:p w14:paraId="013BB593" w14:textId="77777777" w:rsidR="00F0253E" w:rsidRPr="00F20A58" w:rsidRDefault="00F0253E" w:rsidP="2934EBA0">
            <w:pPr>
              <w:shd w:val="clear" w:color="auto" w:fill="FFFFFF" w:themeFill="background1"/>
              <w:rPr>
                <w:b/>
                <w:bCs/>
              </w:rPr>
            </w:pPr>
          </w:p>
          <w:p w14:paraId="207F7CF8" w14:textId="748AC3CC" w:rsidR="00F0253E" w:rsidRPr="00F20A58" w:rsidRDefault="002232EA" w:rsidP="2934EBA0">
            <w:pPr>
              <w:shd w:val="clear" w:color="auto" w:fill="FFFFFF" w:themeFill="background1"/>
              <w:spacing w:after="75"/>
              <w:rPr>
                <w:b/>
                <w:bCs/>
              </w:rPr>
            </w:pPr>
            <w:r w:rsidRPr="00F20A58">
              <w:rPr>
                <w:b/>
                <w:bCs/>
              </w:rPr>
              <w:t>Air Quality</w:t>
            </w:r>
          </w:p>
        </w:tc>
        <w:tc>
          <w:tcPr>
            <w:tcW w:w="1842" w:type="dxa"/>
          </w:tcPr>
          <w:p w14:paraId="124928C9" w14:textId="0A865B3B" w:rsidR="002232EA" w:rsidRPr="00505ECB" w:rsidRDefault="002232EA" w:rsidP="00F73FDC">
            <w:pPr>
              <w:jc w:val="center"/>
            </w:pPr>
          </w:p>
          <w:p w14:paraId="55EA025F" w14:textId="301CB7DD" w:rsidR="00DB07E5" w:rsidRPr="00505ECB" w:rsidRDefault="00437F2E" w:rsidP="00F73FDC">
            <w:pPr>
              <w:jc w:val="center"/>
            </w:pPr>
            <w:r w:rsidRPr="00505ECB">
              <w:t xml:space="preserve"> </w:t>
            </w:r>
            <w:r w:rsidR="00E1146D" w:rsidRPr="00505ECB">
              <w:t>£</w:t>
            </w:r>
            <w:r w:rsidR="00A409C9" w:rsidRPr="00505ECB">
              <w:t>0</w:t>
            </w:r>
          </w:p>
        </w:tc>
        <w:tc>
          <w:tcPr>
            <w:tcW w:w="1843" w:type="dxa"/>
          </w:tcPr>
          <w:p w14:paraId="621F1D41" w14:textId="77777777" w:rsidR="00F0253E" w:rsidRPr="00505ECB" w:rsidRDefault="00F0253E" w:rsidP="00F73FDC">
            <w:pPr>
              <w:jc w:val="center"/>
            </w:pPr>
          </w:p>
          <w:p w14:paraId="173DC2F7" w14:textId="44E88C5F" w:rsidR="00FF6B54" w:rsidRPr="00505ECB" w:rsidRDefault="00437F2E" w:rsidP="00FF6B54">
            <w:pPr>
              <w:jc w:val="center"/>
            </w:pPr>
            <w:r w:rsidRPr="00505ECB">
              <w:t xml:space="preserve"> </w:t>
            </w:r>
            <w:r w:rsidR="00F3065A" w:rsidRPr="00505ECB">
              <w:t>£</w:t>
            </w:r>
            <w:r w:rsidR="00907CE4" w:rsidRPr="00505ECB">
              <w:t>6,003.46</w:t>
            </w:r>
          </w:p>
          <w:p w14:paraId="0D69CCE8" w14:textId="376D3FF8" w:rsidR="00DB07E5" w:rsidRPr="00505ECB" w:rsidRDefault="00DB07E5" w:rsidP="009A3C9C">
            <w:pPr>
              <w:jc w:val="center"/>
            </w:pPr>
          </w:p>
        </w:tc>
        <w:tc>
          <w:tcPr>
            <w:tcW w:w="1843" w:type="dxa"/>
          </w:tcPr>
          <w:p w14:paraId="36CAE0C8" w14:textId="77777777" w:rsidR="00EB0692" w:rsidRPr="007A00F7" w:rsidRDefault="00EB0692" w:rsidP="00EB0692">
            <w:pPr>
              <w:rPr>
                <w:strike/>
              </w:rPr>
            </w:pPr>
          </w:p>
          <w:p w14:paraId="5C273E1F" w14:textId="37D4B078" w:rsidR="002232EA" w:rsidRPr="00505ECB" w:rsidRDefault="000921FD" w:rsidP="00C6459B">
            <w:r w:rsidRPr="00505ECB">
              <w:t>£</w:t>
            </w:r>
            <w:r w:rsidR="00DC3C89" w:rsidRPr="00505ECB">
              <w:t>14,353.85</w:t>
            </w:r>
          </w:p>
          <w:p w14:paraId="2EE6A451" w14:textId="17992C1B" w:rsidR="00DC3C89" w:rsidRPr="00505ECB" w:rsidRDefault="00DC3C89" w:rsidP="00E667D7">
            <w:pPr>
              <w:jc w:val="center"/>
            </w:pPr>
          </w:p>
        </w:tc>
        <w:tc>
          <w:tcPr>
            <w:tcW w:w="1843" w:type="dxa"/>
          </w:tcPr>
          <w:p w14:paraId="613A8E91" w14:textId="0278DF14" w:rsidR="002232EA" w:rsidRPr="00505ECB" w:rsidRDefault="003B4526" w:rsidP="00505ECB">
            <w:r w:rsidRPr="00505ECB">
              <w:t xml:space="preserve">                   </w:t>
            </w:r>
            <w:r w:rsidR="00C6459B">
              <w:t xml:space="preserve">     </w:t>
            </w:r>
            <w:r w:rsidR="00DC5658">
              <w:t xml:space="preserve">      </w:t>
            </w:r>
            <w:r w:rsidRPr="00505ECB">
              <w:t>£9167.20</w:t>
            </w:r>
          </w:p>
        </w:tc>
      </w:tr>
      <w:tr w:rsidR="002232EA" w:rsidRPr="00CC2D77" w14:paraId="199A67DA" w14:textId="77777777" w:rsidTr="007A00F7">
        <w:trPr>
          <w:cantSplit/>
          <w:trHeight w:val="293"/>
        </w:trPr>
        <w:tc>
          <w:tcPr>
            <w:tcW w:w="2122" w:type="dxa"/>
          </w:tcPr>
          <w:p w14:paraId="5E3CB1CD" w14:textId="77777777" w:rsidR="00F0253E" w:rsidRPr="00F20A58" w:rsidRDefault="00F0253E" w:rsidP="2934EBA0">
            <w:pPr>
              <w:shd w:val="clear" w:color="auto" w:fill="FFFFFF" w:themeFill="background1"/>
              <w:rPr>
                <w:b/>
                <w:bCs/>
              </w:rPr>
            </w:pPr>
          </w:p>
          <w:p w14:paraId="04C9DECC" w14:textId="7CEA70BD" w:rsidR="000160CE" w:rsidRPr="00F20A58" w:rsidRDefault="002232EA" w:rsidP="2934EBA0">
            <w:pPr>
              <w:shd w:val="clear" w:color="auto" w:fill="FFFFFF" w:themeFill="background1"/>
              <w:spacing w:after="75"/>
              <w:rPr>
                <w:b/>
                <w:bCs/>
              </w:rPr>
            </w:pPr>
            <w:r w:rsidRPr="00F20A58">
              <w:rPr>
                <w:b/>
                <w:bCs/>
              </w:rPr>
              <w:t>BREEAM</w:t>
            </w:r>
          </w:p>
        </w:tc>
        <w:tc>
          <w:tcPr>
            <w:tcW w:w="1842" w:type="dxa"/>
          </w:tcPr>
          <w:p w14:paraId="4784EB9D" w14:textId="77777777" w:rsidR="00F0253E" w:rsidRPr="00505ECB" w:rsidRDefault="00F0253E" w:rsidP="00E5399F">
            <w:pPr>
              <w:jc w:val="center"/>
            </w:pPr>
          </w:p>
          <w:p w14:paraId="4F74EC55" w14:textId="68226B9B" w:rsidR="002232EA" w:rsidRPr="00505ECB" w:rsidRDefault="002232EA" w:rsidP="00E5399F">
            <w:pPr>
              <w:jc w:val="center"/>
            </w:pPr>
            <w:r w:rsidRPr="00505ECB">
              <w:t>£</w:t>
            </w:r>
            <w:r w:rsidR="6148A3D7" w:rsidRPr="00505ECB">
              <w:t>0</w:t>
            </w:r>
          </w:p>
        </w:tc>
        <w:tc>
          <w:tcPr>
            <w:tcW w:w="1843" w:type="dxa"/>
          </w:tcPr>
          <w:p w14:paraId="7E69448C" w14:textId="77777777" w:rsidR="00F0253E" w:rsidRPr="00505ECB" w:rsidRDefault="00F0253E" w:rsidP="00E5399F">
            <w:pPr>
              <w:jc w:val="center"/>
            </w:pPr>
          </w:p>
          <w:p w14:paraId="539B69DF" w14:textId="73650F3B" w:rsidR="00DB07E5" w:rsidRPr="00505ECB" w:rsidRDefault="00DB07E5" w:rsidP="0093005D">
            <w:pPr>
              <w:jc w:val="center"/>
            </w:pPr>
            <w:r w:rsidRPr="00505ECB">
              <w:t>£0</w:t>
            </w:r>
          </w:p>
        </w:tc>
        <w:tc>
          <w:tcPr>
            <w:tcW w:w="1843" w:type="dxa"/>
          </w:tcPr>
          <w:p w14:paraId="0C39668F" w14:textId="746AFD27" w:rsidR="002232EA" w:rsidRPr="00505ECB" w:rsidRDefault="00C032F7" w:rsidP="00C6459B">
            <w:r w:rsidRPr="00505ECB">
              <w:t xml:space="preserve"> </w:t>
            </w:r>
            <w:r w:rsidR="00437F2E" w:rsidRPr="00505ECB">
              <w:t xml:space="preserve">                  </w:t>
            </w:r>
            <w:r w:rsidRPr="00505ECB">
              <w:t xml:space="preserve"> </w:t>
            </w:r>
            <w:r w:rsidR="00C6459B">
              <w:t xml:space="preserve">  £</w:t>
            </w:r>
            <w:r w:rsidRPr="00505ECB">
              <w:t>11,340.38</w:t>
            </w:r>
          </w:p>
        </w:tc>
        <w:tc>
          <w:tcPr>
            <w:tcW w:w="1843" w:type="dxa"/>
          </w:tcPr>
          <w:p w14:paraId="3ECEC826" w14:textId="77777777" w:rsidR="00F0253E" w:rsidRPr="00505ECB" w:rsidRDefault="00F0253E" w:rsidP="00E5399F">
            <w:pPr>
              <w:jc w:val="center"/>
            </w:pPr>
          </w:p>
          <w:p w14:paraId="11202790" w14:textId="395CF925" w:rsidR="002232EA" w:rsidRPr="00505ECB" w:rsidRDefault="002232EA" w:rsidP="00E5399F">
            <w:pPr>
              <w:jc w:val="center"/>
            </w:pPr>
            <w:r w:rsidRPr="00505ECB">
              <w:t>£0</w:t>
            </w:r>
          </w:p>
        </w:tc>
      </w:tr>
      <w:tr w:rsidR="002232EA" w:rsidRPr="00CC2D77" w14:paraId="5AE1B483" w14:textId="77777777" w:rsidTr="007A00F7">
        <w:trPr>
          <w:cantSplit/>
          <w:trHeight w:val="293"/>
        </w:trPr>
        <w:tc>
          <w:tcPr>
            <w:tcW w:w="2122" w:type="dxa"/>
          </w:tcPr>
          <w:p w14:paraId="2C25FF9F" w14:textId="77777777" w:rsidR="005563CE" w:rsidRDefault="005563CE" w:rsidP="2934EBA0">
            <w:pPr>
              <w:shd w:val="clear" w:color="auto" w:fill="FFFFFF" w:themeFill="background1"/>
              <w:spacing w:after="75"/>
              <w:rPr>
                <w:b/>
                <w:bCs/>
              </w:rPr>
            </w:pPr>
          </w:p>
          <w:p w14:paraId="7DA4CAEE" w14:textId="0A7E58EC" w:rsidR="002232EA" w:rsidRPr="00F20A58" w:rsidRDefault="002232EA" w:rsidP="2934EBA0">
            <w:pPr>
              <w:shd w:val="clear" w:color="auto" w:fill="FFFFFF" w:themeFill="background1"/>
              <w:spacing w:after="75"/>
              <w:rPr>
                <w:b/>
                <w:bCs/>
              </w:rPr>
            </w:pPr>
            <w:r w:rsidRPr="00F20A58">
              <w:rPr>
                <w:b/>
                <w:bCs/>
              </w:rPr>
              <w:t>Community Building</w:t>
            </w:r>
          </w:p>
        </w:tc>
        <w:tc>
          <w:tcPr>
            <w:tcW w:w="1842" w:type="dxa"/>
          </w:tcPr>
          <w:p w14:paraId="09FBE430" w14:textId="77777777" w:rsidR="00F0253E" w:rsidRPr="00505ECB" w:rsidRDefault="00F0253E" w:rsidP="00E5399F">
            <w:pPr>
              <w:jc w:val="center"/>
            </w:pPr>
          </w:p>
          <w:p w14:paraId="360A003A" w14:textId="23EACE5D" w:rsidR="00DB07E5" w:rsidRPr="00505ECB" w:rsidRDefault="78C05D3E" w:rsidP="00E5399F">
            <w:pPr>
              <w:jc w:val="center"/>
            </w:pPr>
            <w:r w:rsidRPr="00505ECB">
              <w:t>£</w:t>
            </w:r>
            <w:r w:rsidR="54C78E7C" w:rsidRPr="00505ECB">
              <w:t>0</w:t>
            </w:r>
          </w:p>
        </w:tc>
        <w:tc>
          <w:tcPr>
            <w:tcW w:w="1843" w:type="dxa"/>
          </w:tcPr>
          <w:p w14:paraId="4D2B33E6" w14:textId="77777777" w:rsidR="00F0253E" w:rsidRPr="00505ECB" w:rsidRDefault="00F0253E" w:rsidP="00E5399F">
            <w:pPr>
              <w:jc w:val="center"/>
            </w:pPr>
          </w:p>
          <w:p w14:paraId="38B77CF9" w14:textId="2B2E50BC" w:rsidR="00DB07E5" w:rsidRPr="00505ECB" w:rsidRDefault="00DB07E5" w:rsidP="00E5399F">
            <w:pPr>
              <w:jc w:val="center"/>
            </w:pPr>
            <w:r w:rsidRPr="00505ECB">
              <w:t>£</w:t>
            </w:r>
            <w:r w:rsidR="00546F87" w:rsidRPr="00505ECB">
              <w:t>0</w:t>
            </w:r>
          </w:p>
        </w:tc>
        <w:tc>
          <w:tcPr>
            <w:tcW w:w="1843" w:type="dxa"/>
          </w:tcPr>
          <w:p w14:paraId="33961EE8" w14:textId="71504A45" w:rsidR="002232EA" w:rsidRPr="00505ECB" w:rsidRDefault="002232EA" w:rsidP="005563CE"/>
          <w:p w14:paraId="7242365E" w14:textId="38BD8816" w:rsidR="00DB07E5" w:rsidRPr="00505ECB" w:rsidRDefault="00D67E33" w:rsidP="00E5399F">
            <w:pPr>
              <w:jc w:val="center"/>
            </w:pPr>
            <w:r w:rsidRPr="00505ECB">
              <w:t>£0</w:t>
            </w:r>
          </w:p>
        </w:tc>
        <w:tc>
          <w:tcPr>
            <w:tcW w:w="1843" w:type="dxa"/>
          </w:tcPr>
          <w:p w14:paraId="7CE306E1" w14:textId="77777777" w:rsidR="00F0253E" w:rsidRPr="00505ECB" w:rsidRDefault="00F0253E" w:rsidP="00E5399F">
            <w:pPr>
              <w:jc w:val="center"/>
            </w:pPr>
          </w:p>
          <w:p w14:paraId="76DA22C7" w14:textId="0F51A51B" w:rsidR="002232EA" w:rsidRPr="00505ECB" w:rsidRDefault="00103C72" w:rsidP="00E5399F">
            <w:pPr>
              <w:jc w:val="center"/>
            </w:pPr>
            <w:r w:rsidRPr="00505ECB">
              <w:t>£0</w:t>
            </w:r>
          </w:p>
          <w:p w14:paraId="712CB326" w14:textId="212A826C" w:rsidR="006D45B3" w:rsidRPr="00505ECB" w:rsidRDefault="006D45B3" w:rsidP="00527194"/>
        </w:tc>
      </w:tr>
      <w:tr w:rsidR="002232EA" w:rsidRPr="00CC2D77" w14:paraId="7CD3E790" w14:textId="77777777" w:rsidTr="007A00F7">
        <w:trPr>
          <w:cantSplit/>
          <w:trHeight w:val="293"/>
        </w:trPr>
        <w:tc>
          <w:tcPr>
            <w:tcW w:w="2122" w:type="dxa"/>
          </w:tcPr>
          <w:p w14:paraId="579C1B82" w14:textId="77777777" w:rsidR="000160CE" w:rsidRDefault="000160CE" w:rsidP="2934EBA0">
            <w:pPr>
              <w:shd w:val="clear" w:color="auto" w:fill="FFFFFF" w:themeFill="background1"/>
              <w:spacing w:after="75"/>
              <w:rPr>
                <w:b/>
                <w:bCs/>
              </w:rPr>
            </w:pPr>
          </w:p>
          <w:p w14:paraId="697101BC" w14:textId="00F1CEED" w:rsidR="002232EA" w:rsidRPr="00F20A58" w:rsidRDefault="002232EA" w:rsidP="2934EBA0">
            <w:pPr>
              <w:shd w:val="clear" w:color="auto" w:fill="FFFFFF" w:themeFill="background1"/>
              <w:spacing w:after="75"/>
              <w:rPr>
                <w:b/>
                <w:bCs/>
              </w:rPr>
            </w:pPr>
            <w:r w:rsidRPr="00F20A58">
              <w:rPr>
                <w:b/>
                <w:bCs/>
              </w:rPr>
              <w:t>Community Development Worker</w:t>
            </w:r>
          </w:p>
        </w:tc>
        <w:tc>
          <w:tcPr>
            <w:tcW w:w="1842" w:type="dxa"/>
          </w:tcPr>
          <w:p w14:paraId="0C0FD6C0" w14:textId="77777777" w:rsidR="00F0253E" w:rsidRPr="00505ECB" w:rsidRDefault="00F0253E" w:rsidP="00E5399F">
            <w:pPr>
              <w:jc w:val="center"/>
            </w:pPr>
          </w:p>
          <w:p w14:paraId="2F5C8993" w14:textId="3552AD73" w:rsidR="00DB07E5" w:rsidRPr="00505ECB" w:rsidRDefault="00526A30" w:rsidP="009A3C9C">
            <w:pPr>
              <w:jc w:val="center"/>
            </w:pPr>
            <w:r w:rsidRPr="00505ECB">
              <w:t xml:space="preserve"> </w:t>
            </w:r>
            <w:r w:rsidR="007B2D03" w:rsidRPr="00505ECB">
              <w:t>£0</w:t>
            </w:r>
          </w:p>
        </w:tc>
        <w:tc>
          <w:tcPr>
            <w:tcW w:w="1843" w:type="dxa"/>
          </w:tcPr>
          <w:p w14:paraId="00ADFFBE" w14:textId="48E07733" w:rsidR="002232EA" w:rsidRPr="00505ECB" w:rsidRDefault="002232EA" w:rsidP="00E5399F">
            <w:pPr>
              <w:jc w:val="center"/>
            </w:pPr>
          </w:p>
          <w:p w14:paraId="0C16A50C" w14:textId="63F0364E" w:rsidR="00DB07E5" w:rsidRPr="00505ECB" w:rsidRDefault="00526A30" w:rsidP="00E5399F">
            <w:pPr>
              <w:jc w:val="center"/>
            </w:pPr>
            <w:r w:rsidRPr="00505ECB">
              <w:t xml:space="preserve">  </w:t>
            </w:r>
            <w:r w:rsidR="00F3065A" w:rsidRPr="00505ECB">
              <w:t>£</w:t>
            </w:r>
            <w:r w:rsidR="00475854" w:rsidRPr="00505ECB">
              <w:t>104,420.51</w:t>
            </w:r>
          </w:p>
        </w:tc>
        <w:tc>
          <w:tcPr>
            <w:tcW w:w="1843" w:type="dxa"/>
          </w:tcPr>
          <w:p w14:paraId="27E29BB3" w14:textId="6649C235" w:rsidR="002232EA" w:rsidRPr="00505ECB" w:rsidRDefault="002232EA" w:rsidP="00E5399F">
            <w:pPr>
              <w:jc w:val="center"/>
            </w:pPr>
          </w:p>
          <w:p w14:paraId="7EE9CDEA" w14:textId="5AFA0B62" w:rsidR="00DB07E5" w:rsidRPr="00505ECB" w:rsidRDefault="00D67E33" w:rsidP="00E5399F">
            <w:pPr>
              <w:jc w:val="center"/>
            </w:pPr>
            <w:r w:rsidRPr="00505ECB">
              <w:t>£</w:t>
            </w:r>
            <w:r w:rsidR="002741F6" w:rsidRPr="00505ECB">
              <w:t xml:space="preserve"> </w:t>
            </w:r>
            <w:r w:rsidR="00C032F7" w:rsidRPr="00505ECB">
              <w:t>0</w:t>
            </w:r>
          </w:p>
          <w:p w14:paraId="5BC66C43" w14:textId="3D1FFD92" w:rsidR="00AA0516" w:rsidRPr="00505ECB" w:rsidRDefault="00AA0516" w:rsidP="00E5399F">
            <w:pPr>
              <w:jc w:val="center"/>
            </w:pPr>
          </w:p>
        </w:tc>
        <w:tc>
          <w:tcPr>
            <w:tcW w:w="1843" w:type="dxa"/>
          </w:tcPr>
          <w:p w14:paraId="1F72B47D" w14:textId="36AC4D90" w:rsidR="002232EA" w:rsidRPr="00505ECB" w:rsidRDefault="002232EA" w:rsidP="00E5399F">
            <w:pPr>
              <w:jc w:val="center"/>
            </w:pPr>
          </w:p>
          <w:p w14:paraId="66343B4D" w14:textId="36D741DE" w:rsidR="00DB07E5" w:rsidRPr="0015340B" w:rsidRDefault="00606F27" w:rsidP="0015340B">
            <w:pPr>
              <w:jc w:val="center"/>
              <w:rPr>
                <w:strike/>
              </w:rPr>
            </w:pPr>
            <w:r w:rsidRPr="00505ECB">
              <w:t>£0</w:t>
            </w:r>
          </w:p>
        </w:tc>
      </w:tr>
      <w:tr w:rsidR="000365CF" w:rsidRPr="00CC2D77" w14:paraId="4AC27B41" w14:textId="77777777" w:rsidTr="007A00F7">
        <w:trPr>
          <w:cantSplit/>
          <w:trHeight w:val="293"/>
        </w:trPr>
        <w:tc>
          <w:tcPr>
            <w:tcW w:w="2122" w:type="dxa"/>
          </w:tcPr>
          <w:p w14:paraId="4FCD24A2" w14:textId="77777777" w:rsidR="000365CF" w:rsidRPr="00F20A58" w:rsidRDefault="000365CF" w:rsidP="2934EBA0">
            <w:pPr>
              <w:shd w:val="clear" w:color="auto" w:fill="FFFFFF" w:themeFill="background1"/>
              <w:spacing w:after="75"/>
              <w:rPr>
                <w:b/>
                <w:bCs/>
              </w:rPr>
            </w:pPr>
            <w:bookmarkStart w:id="44" w:name="_Hlk58535398"/>
          </w:p>
          <w:p w14:paraId="7BAA149F" w14:textId="3B30878E" w:rsidR="000365CF" w:rsidRPr="00F20A58" w:rsidRDefault="000365CF" w:rsidP="2934EBA0">
            <w:pPr>
              <w:shd w:val="clear" w:color="auto" w:fill="FFFFFF" w:themeFill="background1"/>
              <w:spacing w:after="75"/>
              <w:rPr>
                <w:b/>
                <w:bCs/>
              </w:rPr>
            </w:pPr>
            <w:r w:rsidRPr="00F20A58">
              <w:rPr>
                <w:b/>
                <w:bCs/>
              </w:rPr>
              <w:t>Community Infrastructure</w:t>
            </w:r>
          </w:p>
        </w:tc>
        <w:tc>
          <w:tcPr>
            <w:tcW w:w="1842" w:type="dxa"/>
          </w:tcPr>
          <w:p w14:paraId="7170E2D3" w14:textId="77777777" w:rsidR="000365CF" w:rsidRPr="0015340B" w:rsidRDefault="000365CF" w:rsidP="000365CF">
            <w:pPr>
              <w:jc w:val="center"/>
            </w:pPr>
          </w:p>
          <w:p w14:paraId="46E60B27" w14:textId="345ED093" w:rsidR="000365CF" w:rsidRPr="0015340B" w:rsidRDefault="00526A30" w:rsidP="000365CF">
            <w:pPr>
              <w:jc w:val="center"/>
            </w:pPr>
            <w:r w:rsidRPr="0015340B">
              <w:t xml:space="preserve">  </w:t>
            </w:r>
            <w:r w:rsidR="00BE4000" w:rsidRPr="0015340B">
              <w:t>£</w:t>
            </w:r>
            <w:r w:rsidR="00F40536" w:rsidRPr="0015340B">
              <w:t>32,821.38</w:t>
            </w:r>
          </w:p>
        </w:tc>
        <w:tc>
          <w:tcPr>
            <w:tcW w:w="1843" w:type="dxa"/>
          </w:tcPr>
          <w:p w14:paraId="59C2B6F0" w14:textId="347479DC" w:rsidR="00CF14D4" w:rsidRDefault="00526A30" w:rsidP="0015340B">
            <w:r w:rsidRPr="0015340B">
              <w:t xml:space="preserve"> </w:t>
            </w:r>
          </w:p>
          <w:p w14:paraId="787CBE80" w14:textId="777EE276" w:rsidR="000365CF" w:rsidRPr="0015340B" w:rsidRDefault="00526A30" w:rsidP="0015340B">
            <w:r w:rsidRPr="0015340B">
              <w:t xml:space="preserve"> </w:t>
            </w:r>
            <w:r w:rsidR="007446CB">
              <w:t>£</w:t>
            </w:r>
            <w:r w:rsidR="00F3065A" w:rsidRPr="0015340B">
              <w:t>274,078.39</w:t>
            </w:r>
          </w:p>
          <w:p w14:paraId="4D77406C" w14:textId="77777777" w:rsidR="000365CF" w:rsidRPr="0015340B" w:rsidRDefault="000365CF" w:rsidP="000365CF">
            <w:pPr>
              <w:jc w:val="center"/>
            </w:pPr>
          </w:p>
          <w:p w14:paraId="0246A685" w14:textId="72620978" w:rsidR="000365CF" w:rsidRPr="0015340B" w:rsidRDefault="000365CF" w:rsidP="000365CF"/>
        </w:tc>
        <w:tc>
          <w:tcPr>
            <w:tcW w:w="1843" w:type="dxa"/>
          </w:tcPr>
          <w:p w14:paraId="0FD9F3D0" w14:textId="77777777" w:rsidR="000365CF" w:rsidRPr="0015340B" w:rsidRDefault="000365CF" w:rsidP="000365CF">
            <w:pPr>
              <w:jc w:val="center"/>
            </w:pPr>
          </w:p>
          <w:p w14:paraId="6B6EFD80" w14:textId="76A17697" w:rsidR="000365CF" w:rsidRPr="0015340B" w:rsidRDefault="00044CB5" w:rsidP="000365CF">
            <w:pPr>
              <w:jc w:val="center"/>
            </w:pPr>
            <w:r w:rsidRPr="0015340B">
              <w:t xml:space="preserve"> </w:t>
            </w:r>
            <w:r w:rsidR="00CF14D4">
              <w:t>£</w:t>
            </w:r>
            <w:r w:rsidR="00F34021" w:rsidRPr="0015340B">
              <w:t>257,408.23</w:t>
            </w:r>
          </w:p>
        </w:tc>
        <w:tc>
          <w:tcPr>
            <w:tcW w:w="1843" w:type="dxa"/>
          </w:tcPr>
          <w:p w14:paraId="772E98F4" w14:textId="77777777" w:rsidR="00CC128D" w:rsidRDefault="00CC128D" w:rsidP="0015340B"/>
          <w:p w14:paraId="1C0018C2" w14:textId="51A662F1" w:rsidR="000365CF" w:rsidRPr="0015340B" w:rsidRDefault="00606F27" w:rsidP="0015340B">
            <w:r w:rsidRPr="0015340B">
              <w:t xml:space="preserve"> £434</w:t>
            </w:r>
            <w:r w:rsidR="0086275F" w:rsidRPr="0015340B">
              <w:t>,669.48</w:t>
            </w:r>
          </w:p>
        </w:tc>
      </w:tr>
      <w:bookmarkEnd w:id="44"/>
      <w:tr w:rsidR="000365CF" w:rsidRPr="00CC2D77" w14:paraId="1FCC8E02" w14:textId="77777777" w:rsidTr="007A00F7">
        <w:trPr>
          <w:cantSplit/>
          <w:trHeight w:val="293"/>
        </w:trPr>
        <w:tc>
          <w:tcPr>
            <w:tcW w:w="2122" w:type="dxa"/>
          </w:tcPr>
          <w:p w14:paraId="37D1D20E" w14:textId="77777777" w:rsidR="000365CF" w:rsidRPr="00F20A58" w:rsidRDefault="000365CF" w:rsidP="2934EBA0">
            <w:pPr>
              <w:shd w:val="clear" w:color="auto" w:fill="FFFFFF" w:themeFill="background1"/>
              <w:spacing w:after="75"/>
              <w:rPr>
                <w:b/>
                <w:bCs/>
              </w:rPr>
            </w:pPr>
          </w:p>
          <w:p w14:paraId="03A3E88D" w14:textId="52A54304" w:rsidR="000365CF" w:rsidRPr="00F20A58" w:rsidRDefault="000365CF" w:rsidP="2934EBA0">
            <w:pPr>
              <w:shd w:val="clear" w:color="auto" w:fill="FFFFFF" w:themeFill="background1"/>
              <w:spacing w:after="75"/>
              <w:rPr>
                <w:b/>
                <w:bCs/>
              </w:rPr>
            </w:pPr>
            <w:r w:rsidRPr="00F20A58">
              <w:rPr>
                <w:b/>
                <w:bCs/>
              </w:rPr>
              <w:t>Ecology</w:t>
            </w:r>
          </w:p>
        </w:tc>
        <w:tc>
          <w:tcPr>
            <w:tcW w:w="1842" w:type="dxa"/>
          </w:tcPr>
          <w:p w14:paraId="1B164407" w14:textId="77777777" w:rsidR="000365CF" w:rsidRPr="0015340B" w:rsidRDefault="000365CF" w:rsidP="000365CF">
            <w:pPr>
              <w:jc w:val="center"/>
            </w:pPr>
          </w:p>
          <w:p w14:paraId="421D288A" w14:textId="75D9D325" w:rsidR="000365CF" w:rsidRPr="0015340B" w:rsidRDefault="000365CF" w:rsidP="000365CF">
            <w:pPr>
              <w:jc w:val="center"/>
            </w:pPr>
            <w:r w:rsidRPr="0015340B">
              <w:t>£0</w:t>
            </w:r>
          </w:p>
        </w:tc>
        <w:tc>
          <w:tcPr>
            <w:tcW w:w="1843" w:type="dxa"/>
          </w:tcPr>
          <w:p w14:paraId="6E662581" w14:textId="06EBA768" w:rsidR="000365CF" w:rsidRPr="0015340B" w:rsidRDefault="000365CF" w:rsidP="000365CF">
            <w:pPr>
              <w:jc w:val="center"/>
            </w:pPr>
          </w:p>
          <w:p w14:paraId="73A8FC43" w14:textId="39BFCDFB" w:rsidR="000365CF" w:rsidRPr="0015340B" w:rsidRDefault="00437F2E" w:rsidP="000365CF">
            <w:pPr>
              <w:jc w:val="center"/>
            </w:pPr>
            <w:r w:rsidRPr="0015340B">
              <w:t xml:space="preserve">  </w:t>
            </w:r>
            <w:r w:rsidR="00F3065A" w:rsidRPr="0015340B">
              <w:t>£0</w:t>
            </w:r>
          </w:p>
        </w:tc>
        <w:tc>
          <w:tcPr>
            <w:tcW w:w="1843" w:type="dxa"/>
          </w:tcPr>
          <w:p w14:paraId="04000A0A" w14:textId="77777777" w:rsidR="000365CF" w:rsidRPr="0015340B" w:rsidRDefault="000365CF" w:rsidP="000365CF">
            <w:pPr>
              <w:jc w:val="center"/>
            </w:pPr>
          </w:p>
          <w:p w14:paraId="34E29725" w14:textId="52A436CF" w:rsidR="000365CF" w:rsidRPr="0015340B" w:rsidRDefault="00526A30" w:rsidP="00CC128D">
            <w:r w:rsidRPr="0015340B">
              <w:t xml:space="preserve">   </w:t>
            </w:r>
            <w:r w:rsidR="008B67E9" w:rsidRPr="0015340B">
              <w:t>£</w:t>
            </w:r>
            <w:r w:rsidR="004624F3" w:rsidRPr="0015340B">
              <w:t>13,008.51</w:t>
            </w:r>
          </w:p>
        </w:tc>
        <w:tc>
          <w:tcPr>
            <w:tcW w:w="1843" w:type="dxa"/>
          </w:tcPr>
          <w:p w14:paraId="2AE513FA" w14:textId="77777777" w:rsidR="000365CF" w:rsidRPr="0015340B" w:rsidRDefault="000365CF" w:rsidP="000365CF">
            <w:pPr>
              <w:jc w:val="center"/>
            </w:pPr>
          </w:p>
          <w:p w14:paraId="73CD2335" w14:textId="7581647B" w:rsidR="00F50AA7" w:rsidRPr="0015340B" w:rsidRDefault="00360009" w:rsidP="007A00F7">
            <w:r>
              <w:t xml:space="preserve"> </w:t>
            </w:r>
            <w:r w:rsidR="00FC4546" w:rsidRPr="007A00F7">
              <w:t>£</w:t>
            </w:r>
            <w:r w:rsidR="00F44722" w:rsidRPr="007A00F7">
              <w:t>12,335.60</w:t>
            </w:r>
          </w:p>
        </w:tc>
      </w:tr>
      <w:tr w:rsidR="000365CF" w:rsidRPr="00CC2D77" w14:paraId="2BB0680A" w14:textId="77777777" w:rsidTr="007A00F7">
        <w:trPr>
          <w:cantSplit/>
          <w:trHeight w:val="293"/>
        </w:trPr>
        <w:tc>
          <w:tcPr>
            <w:tcW w:w="2122" w:type="dxa"/>
          </w:tcPr>
          <w:p w14:paraId="69FF9F0E" w14:textId="77777777" w:rsidR="000160CE" w:rsidRDefault="000160CE" w:rsidP="2934EBA0">
            <w:pPr>
              <w:shd w:val="clear" w:color="auto" w:fill="FFFFFF" w:themeFill="background1"/>
              <w:spacing w:after="75"/>
              <w:rPr>
                <w:b/>
                <w:bCs/>
              </w:rPr>
            </w:pPr>
          </w:p>
          <w:p w14:paraId="0E44D709" w14:textId="4A38396B" w:rsidR="000365CF" w:rsidRDefault="000365CF" w:rsidP="2934EBA0">
            <w:pPr>
              <w:shd w:val="clear" w:color="auto" w:fill="FFFFFF" w:themeFill="background1"/>
              <w:spacing w:after="75"/>
              <w:rPr>
                <w:b/>
                <w:bCs/>
              </w:rPr>
            </w:pPr>
            <w:r>
              <w:rPr>
                <w:b/>
                <w:bCs/>
              </w:rPr>
              <w:t>Economic Mitigation</w:t>
            </w:r>
          </w:p>
        </w:tc>
        <w:tc>
          <w:tcPr>
            <w:tcW w:w="1842" w:type="dxa"/>
          </w:tcPr>
          <w:p w14:paraId="190FA134" w14:textId="77777777" w:rsidR="00EF30C0" w:rsidRPr="00360009" w:rsidRDefault="00EF30C0" w:rsidP="000365CF">
            <w:pPr>
              <w:jc w:val="center"/>
            </w:pPr>
          </w:p>
          <w:p w14:paraId="01FA1AC9" w14:textId="0E4DE922" w:rsidR="000365CF" w:rsidRPr="00360009" w:rsidRDefault="00437F2E" w:rsidP="000365CF">
            <w:pPr>
              <w:jc w:val="center"/>
            </w:pPr>
            <w:r w:rsidRPr="00360009">
              <w:t xml:space="preserve"> </w:t>
            </w:r>
            <w:r w:rsidR="007B2D03" w:rsidRPr="00360009">
              <w:t>£0</w:t>
            </w:r>
          </w:p>
        </w:tc>
        <w:tc>
          <w:tcPr>
            <w:tcW w:w="1843" w:type="dxa"/>
          </w:tcPr>
          <w:p w14:paraId="28B5E0F6" w14:textId="6EBCC90F" w:rsidR="00360009" w:rsidRDefault="00437F2E" w:rsidP="000365CF">
            <w:pPr>
              <w:jc w:val="center"/>
            </w:pPr>
            <w:r w:rsidRPr="00360009">
              <w:t xml:space="preserve">   </w:t>
            </w:r>
          </w:p>
          <w:p w14:paraId="72E2526E" w14:textId="4FDE92E3" w:rsidR="000365CF" w:rsidRPr="00360009" w:rsidRDefault="00F3065A" w:rsidP="000365CF">
            <w:pPr>
              <w:jc w:val="center"/>
            </w:pPr>
            <w:r w:rsidRPr="00360009">
              <w:t>£0</w:t>
            </w:r>
          </w:p>
        </w:tc>
        <w:tc>
          <w:tcPr>
            <w:tcW w:w="1843" w:type="dxa"/>
          </w:tcPr>
          <w:p w14:paraId="78DB018D" w14:textId="77777777" w:rsidR="00EF30C0" w:rsidRPr="00360009" w:rsidRDefault="00EF30C0" w:rsidP="000365CF">
            <w:pPr>
              <w:jc w:val="center"/>
            </w:pPr>
          </w:p>
          <w:p w14:paraId="6F8135C1" w14:textId="4E7EFDCA" w:rsidR="000365CF" w:rsidRPr="00360009" w:rsidRDefault="0005167E" w:rsidP="000365CF">
            <w:pPr>
              <w:jc w:val="center"/>
            </w:pPr>
            <w:r w:rsidRPr="00360009">
              <w:t>£0</w:t>
            </w:r>
          </w:p>
        </w:tc>
        <w:tc>
          <w:tcPr>
            <w:tcW w:w="1843" w:type="dxa"/>
          </w:tcPr>
          <w:p w14:paraId="3E8A5629" w14:textId="77777777" w:rsidR="00EF30C0" w:rsidRPr="00360009" w:rsidRDefault="00EF30C0" w:rsidP="000365CF">
            <w:pPr>
              <w:jc w:val="center"/>
            </w:pPr>
          </w:p>
          <w:p w14:paraId="4AF81E54" w14:textId="672C5736" w:rsidR="000365CF" w:rsidRPr="00360009" w:rsidRDefault="002B5446" w:rsidP="000365CF">
            <w:pPr>
              <w:jc w:val="center"/>
            </w:pPr>
            <w:r w:rsidRPr="00360009">
              <w:t>£0</w:t>
            </w:r>
            <w:r w:rsidR="004E746A" w:rsidRPr="007A00F7">
              <w:t xml:space="preserve"> </w:t>
            </w:r>
          </w:p>
        </w:tc>
      </w:tr>
      <w:tr w:rsidR="000365CF" w:rsidRPr="00CC2D77" w14:paraId="37817702" w14:textId="77777777" w:rsidTr="007A00F7">
        <w:trPr>
          <w:cantSplit/>
          <w:trHeight w:val="293"/>
        </w:trPr>
        <w:tc>
          <w:tcPr>
            <w:tcW w:w="2122" w:type="dxa"/>
          </w:tcPr>
          <w:p w14:paraId="76574FA9" w14:textId="77777777" w:rsidR="000160CE" w:rsidRDefault="000160CE" w:rsidP="2934EBA0">
            <w:pPr>
              <w:shd w:val="clear" w:color="auto" w:fill="FFFFFF" w:themeFill="background1"/>
              <w:spacing w:after="75"/>
              <w:rPr>
                <w:b/>
                <w:bCs/>
              </w:rPr>
            </w:pPr>
          </w:p>
          <w:p w14:paraId="59159807" w14:textId="740C8CB4" w:rsidR="000160CE" w:rsidRPr="00F20A58" w:rsidRDefault="000365CF" w:rsidP="2934EBA0">
            <w:pPr>
              <w:shd w:val="clear" w:color="auto" w:fill="FFFFFF" w:themeFill="background1"/>
              <w:spacing w:after="75"/>
              <w:rPr>
                <w:b/>
                <w:bCs/>
              </w:rPr>
            </w:pPr>
            <w:r>
              <w:rPr>
                <w:b/>
                <w:bCs/>
              </w:rPr>
              <w:t>Employment and Skills</w:t>
            </w:r>
          </w:p>
        </w:tc>
        <w:tc>
          <w:tcPr>
            <w:tcW w:w="1842" w:type="dxa"/>
          </w:tcPr>
          <w:p w14:paraId="5C18AEA8" w14:textId="77777777" w:rsidR="000365CF" w:rsidRPr="00360009" w:rsidRDefault="000365CF" w:rsidP="000365CF">
            <w:pPr>
              <w:jc w:val="center"/>
            </w:pPr>
          </w:p>
          <w:p w14:paraId="2C762A39" w14:textId="611EEB59" w:rsidR="000365CF" w:rsidRPr="00360009" w:rsidRDefault="000365CF" w:rsidP="000365CF">
            <w:pPr>
              <w:jc w:val="center"/>
            </w:pPr>
            <w:r w:rsidRPr="00360009">
              <w:t>£0</w:t>
            </w:r>
          </w:p>
        </w:tc>
        <w:tc>
          <w:tcPr>
            <w:tcW w:w="1843" w:type="dxa"/>
          </w:tcPr>
          <w:p w14:paraId="768BFA7E" w14:textId="77777777" w:rsidR="000365CF" w:rsidRPr="00360009" w:rsidRDefault="000365CF" w:rsidP="000365CF">
            <w:pPr>
              <w:jc w:val="center"/>
            </w:pPr>
          </w:p>
          <w:p w14:paraId="4C3E92D7" w14:textId="010AFD04" w:rsidR="000365CF" w:rsidRPr="00360009" w:rsidRDefault="00437F2E" w:rsidP="000365CF">
            <w:pPr>
              <w:jc w:val="center"/>
            </w:pPr>
            <w:r w:rsidRPr="00360009">
              <w:t xml:space="preserve">     </w:t>
            </w:r>
            <w:r w:rsidR="00F3065A" w:rsidRPr="00360009">
              <w:t>£0</w:t>
            </w:r>
          </w:p>
        </w:tc>
        <w:tc>
          <w:tcPr>
            <w:tcW w:w="1843" w:type="dxa"/>
          </w:tcPr>
          <w:p w14:paraId="0C943150" w14:textId="77777777" w:rsidR="000365CF" w:rsidRPr="00360009" w:rsidRDefault="000365CF" w:rsidP="000365CF">
            <w:pPr>
              <w:jc w:val="center"/>
            </w:pPr>
          </w:p>
          <w:p w14:paraId="17941C8C" w14:textId="3AD1B2E3" w:rsidR="000365CF" w:rsidRPr="00360009" w:rsidRDefault="000365CF" w:rsidP="000365CF">
            <w:pPr>
              <w:jc w:val="center"/>
            </w:pPr>
            <w:r w:rsidRPr="00360009">
              <w:t>£0</w:t>
            </w:r>
          </w:p>
        </w:tc>
        <w:tc>
          <w:tcPr>
            <w:tcW w:w="1843" w:type="dxa"/>
          </w:tcPr>
          <w:p w14:paraId="51B659A5" w14:textId="77777777" w:rsidR="000365CF" w:rsidRPr="00360009" w:rsidRDefault="000365CF" w:rsidP="000365CF">
            <w:pPr>
              <w:jc w:val="center"/>
            </w:pPr>
          </w:p>
          <w:p w14:paraId="2817E38E" w14:textId="1D9942BE" w:rsidR="000365CF" w:rsidRPr="00360009" w:rsidRDefault="00360009" w:rsidP="00360009">
            <w:r>
              <w:t xml:space="preserve">  </w:t>
            </w:r>
            <w:r w:rsidR="002B5446" w:rsidRPr="00360009">
              <w:t>£</w:t>
            </w:r>
            <w:r w:rsidR="00D81B79" w:rsidRPr="007A00F7">
              <w:t>7,542.64</w:t>
            </w:r>
          </w:p>
        </w:tc>
      </w:tr>
      <w:tr w:rsidR="000365CF" w:rsidRPr="00CC2D77" w14:paraId="01514551" w14:textId="77777777" w:rsidTr="007A00F7">
        <w:trPr>
          <w:cantSplit/>
          <w:trHeight w:val="293"/>
        </w:trPr>
        <w:tc>
          <w:tcPr>
            <w:tcW w:w="2122" w:type="dxa"/>
          </w:tcPr>
          <w:p w14:paraId="49C41CD9" w14:textId="77777777" w:rsidR="000365CF" w:rsidRPr="00F20A58" w:rsidRDefault="000365CF" w:rsidP="2934EBA0">
            <w:pPr>
              <w:shd w:val="clear" w:color="auto" w:fill="FFFFFF" w:themeFill="background1"/>
              <w:rPr>
                <w:b/>
                <w:bCs/>
              </w:rPr>
            </w:pPr>
          </w:p>
          <w:p w14:paraId="2B153299" w14:textId="7EA98E46" w:rsidR="000365CF" w:rsidRPr="00F20A58" w:rsidRDefault="000365CF" w:rsidP="2934EBA0">
            <w:pPr>
              <w:shd w:val="clear" w:color="auto" w:fill="FFFFFF" w:themeFill="background1"/>
              <w:rPr>
                <w:b/>
                <w:bCs/>
              </w:rPr>
            </w:pPr>
            <w:r w:rsidRPr="00F20A58">
              <w:rPr>
                <w:b/>
                <w:bCs/>
              </w:rPr>
              <w:t>Environmental Improvements</w:t>
            </w:r>
          </w:p>
        </w:tc>
        <w:tc>
          <w:tcPr>
            <w:tcW w:w="1842" w:type="dxa"/>
          </w:tcPr>
          <w:p w14:paraId="4EFF315D" w14:textId="77777777" w:rsidR="000365CF" w:rsidRPr="00360009" w:rsidRDefault="000365CF" w:rsidP="005563CE">
            <w:pPr>
              <w:jc w:val="center"/>
            </w:pPr>
          </w:p>
          <w:p w14:paraId="0A406C6E" w14:textId="77777777" w:rsidR="000365CF" w:rsidRPr="00360009" w:rsidRDefault="000365CF" w:rsidP="005563CE">
            <w:pPr>
              <w:jc w:val="center"/>
            </w:pPr>
          </w:p>
          <w:p w14:paraId="2C76BACF" w14:textId="3B8B618C" w:rsidR="000365CF" w:rsidRPr="00360009" w:rsidRDefault="00437F2E" w:rsidP="005563CE">
            <w:pPr>
              <w:jc w:val="center"/>
            </w:pPr>
            <w:r w:rsidRPr="00360009">
              <w:t xml:space="preserve"> </w:t>
            </w:r>
            <w:r w:rsidR="006C3B0B" w:rsidRPr="00360009">
              <w:t>£</w:t>
            </w:r>
            <w:r w:rsidR="007B2D03" w:rsidRPr="00360009">
              <w:t>0</w:t>
            </w:r>
          </w:p>
          <w:p w14:paraId="6742ED73" w14:textId="03B0B0AE" w:rsidR="000365CF" w:rsidRPr="00360009" w:rsidRDefault="000365CF" w:rsidP="005563CE">
            <w:pPr>
              <w:jc w:val="center"/>
            </w:pPr>
          </w:p>
        </w:tc>
        <w:tc>
          <w:tcPr>
            <w:tcW w:w="1843" w:type="dxa"/>
          </w:tcPr>
          <w:p w14:paraId="3E0AE5A9" w14:textId="5A105AE0" w:rsidR="000365CF" w:rsidRPr="00360009" w:rsidRDefault="000365CF" w:rsidP="005563CE">
            <w:pPr>
              <w:jc w:val="center"/>
            </w:pPr>
          </w:p>
          <w:p w14:paraId="7A4A561F" w14:textId="77777777" w:rsidR="000365CF" w:rsidRPr="00360009" w:rsidRDefault="000365CF" w:rsidP="005563CE">
            <w:pPr>
              <w:jc w:val="center"/>
            </w:pPr>
          </w:p>
          <w:p w14:paraId="0D9C34C4" w14:textId="7423E266" w:rsidR="000365CF" w:rsidRPr="00360009" w:rsidRDefault="00437F2E" w:rsidP="005563CE">
            <w:pPr>
              <w:jc w:val="center"/>
            </w:pPr>
            <w:r w:rsidRPr="00360009">
              <w:t xml:space="preserve">     </w:t>
            </w:r>
            <w:r w:rsidR="00F3065A" w:rsidRPr="00360009">
              <w:t>£</w:t>
            </w:r>
            <w:r w:rsidR="00055062" w:rsidRPr="00360009">
              <w:t>0</w:t>
            </w:r>
          </w:p>
        </w:tc>
        <w:tc>
          <w:tcPr>
            <w:tcW w:w="1843" w:type="dxa"/>
          </w:tcPr>
          <w:p w14:paraId="2FA87A49" w14:textId="407B3B56" w:rsidR="000365CF" w:rsidRPr="00360009" w:rsidRDefault="000365CF" w:rsidP="005563CE">
            <w:pPr>
              <w:jc w:val="center"/>
            </w:pPr>
          </w:p>
          <w:p w14:paraId="209EAA02" w14:textId="77777777" w:rsidR="000365CF" w:rsidRPr="00360009" w:rsidRDefault="000365CF" w:rsidP="005563CE">
            <w:pPr>
              <w:jc w:val="center"/>
            </w:pPr>
          </w:p>
          <w:p w14:paraId="3CA0EA77" w14:textId="7ECE02B1" w:rsidR="000365CF" w:rsidRPr="00360009" w:rsidRDefault="006F1FB8" w:rsidP="005563CE">
            <w:pPr>
              <w:jc w:val="center"/>
            </w:pPr>
            <w:r w:rsidRPr="00360009">
              <w:t>£0</w:t>
            </w:r>
          </w:p>
        </w:tc>
        <w:tc>
          <w:tcPr>
            <w:tcW w:w="1843" w:type="dxa"/>
          </w:tcPr>
          <w:p w14:paraId="5988BC5E" w14:textId="52A024AA" w:rsidR="000365CF" w:rsidRPr="00360009" w:rsidRDefault="000365CF" w:rsidP="005563CE">
            <w:pPr>
              <w:jc w:val="center"/>
            </w:pPr>
          </w:p>
          <w:p w14:paraId="76EB0822" w14:textId="77777777" w:rsidR="000365CF" w:rsidRPr="00360009" w:rsidRDefault="000365CF" w:rsidP="005563CE">
            <w:pPr>
              <w:jc w:val="center"/>
            </w:pPr>
          </w:p>
          <w:p w14:paraId="044FB7F8" w14:textId="7AAE4E02" w:rsidR="000365CF" w:rsidRPr="00360009" w:rsidRDefault="00C25F59" w:rsidP="00F67E88">
            <w:pPr>
              <w:jc w:val="center"/>
            </w:pPr>
            <w:r w:rsidRPr="007A00F7">
              <w:t>£0</w:t>
            </w:r>
          </w:p>
        </w:tc>
      </w:tr>
      <w:tr w:rsidR="000365CF" w:rsidRPr="00CC2D77" w14:paraId="44B396BD" w14:textId="482B4938" w:rsidTr="007A00F7">
        <w:trPr>
          <w:cantSplit/>
          <w:trHeight w:val="293"/>
        </w:trPr>
        <w:tc>
          <w:tcPr>
            <w:tcW w:w="2122" w:type="dxa"/>
          </w:tcPr>
          <w:p w14:paraId="56DE1B78" w14:textId="77777777" w:rsidR="000365CF" w:rsidRPr="00F20A58" w:rsidRDefault="000365CF" w:rsidP="2934EBA0">
            <w:pPr>
              <w:shd w:val="clear" w:color="auto" w:fill="FFFFFF" w:themeFill="background1"/>
              <w:spacing w:after="75"/>
              <w:rPr>
                <w:b/>
                <w:bCs/>
              </w:rPr>
            </w:pPr>
          </w:p>
          <w:p w14:paraId="393BE2FC" w14:textId="64AB601A" w:rsidR="000365CF" w:rsidRPr="00F20A58" w:rsidRDefault="000365CF" w:rsidP="2934EBA0">
            <w:pPr>
              <w:shd w:val="clear" w:color="auto" w:fill="FFFFFF" w:themeFill="background1"/>
              <w:spacing w:after="75"/>
              <w:rPr>
                <w:b/>
                <w:bCs/>
              </w:rPr>
            </w:pPr>
            <w:r w:rsidRPr="00F20A58">
              <w:rPr>
                <w:b/>
                <w:bCs/>
              </w:rPr>
              <w:t>Health</w:t>
            </w:r>
          </w:p>
        </w:tc>
        <w:tc>
          <w:tcPr>
            <w:tcW w:w="1842" w:type="dxa"/>
          </w:tcPr>
          <w:p w14:paraId="6227B44B" w14:textId="77777777" w:rsidR="000365CF" w:rsidRPr="00F67E88" w:rsidRDefault="000365CF" w:rsidP="00E667D7">
            <w:pPr>
              <w:jc w:val="center"/>
            </w:pPr>
          </w:p>
          <w:p w14:paraId="497FBE47" w14:textId="1A73F098" w:rsidR="000365CF" w:rsidRPr="00F67E88" w:rsidRDefault="00437F2E" w:rsidP="00E667D7">
            <w:pPr>
              <w:jc w:val="center"/>
            </w:pPr>
            <w:r w:rsidRPr="00F67E88">
              <w:t xml:space="preserve"> </w:t>
            </w:r>
            <w:r w:rsidR="0068689A" w:rsidRPr="00F67E88">
              <w:t>£8,606.89</w:t>
            </w:r>
          </w:p>
        </w:tc>
        <w:tc>
          <w:tcPr>
            <w:tcW w:w="1843" w:type="dxa"/>
          </w:tcPr>
          <w:p w14:paraId="30D7B25C" w14:textId="208A7BF0" w:rsidR="000365CF" w:rsidRPr="00F67E88" w:rsidRDefault="000365CF" w:rsidP="00E667D7">
            <w:pPr>
              <w:jc w:val="center"/>
            </w:pPr>
          </w:p>
          <w:p w14:paraId="7554846A" w14:textId="48AAC601" w:rsidR="000365CF" w:rsidRPr="00F67E88" w:rsidRDefault="00055062" w:rsidP="00E667D7">
            <w:pPr>
              <w:jc w:val="center"/>
            </w:pPr>
            <w:r w:rsidRPr="00F67E88">
              <w:t>£</w:t>
            </w:r>
            <w:r w:rsidR="00B7512E" w:rsidRPr="00F67E88">
              <w:t>2</w:t>
            </w:r>
            <w:r w:rsidRPr="00F67E88">
              <w:t>31,785.39</w:t>
            </w:r>
          </w:p>
        </w:tc>
        <w:tc>
          <w:tcPr>
            <w:tcW w:w="1843" w:type="dxa"/>
          </w:tcPr>
          <w:p w14:paraId="3840E3CC" w14:textId="7BC1754F" w:rsidR="000365CF" w:rsidRPr="00F67E88" w:rsidRDefault="000365CF" w:rsidP="00E667D7">
            <w:pPr>
              <w:jc w:val="center"/>
            </w:pPr>
          </w:p>
          <w:p w14:paraId="13B69B32" w14:textId="3AA2C7E5" w:rsidR="00F044D3" w:rsidRPr="007A00F7" w:rsidRDefault="00F044D3" w:rsidP="00E667D7">
            <w:pPr>
              <w:jc w:val="center"/>
              <w:rPr>
                <w:strike/>
              </w:rPr>
            </w:pPr>
            <w:r w:rsidRPr="00F67E88">
              <w:t>£0</w:t>
            </w:r>
          </w:p>
        </w:tc>
        <w:tc>
          <w:tcPr>
            <w:tcW w:w="1843" w:type="dxa"/>
          </w:tcPr>
          <w:p w14:paraId="65CD0FA6" w14:textId="47BE50B5" w:rsidR="000365CF" w:rsidRPr="00F67E88" w:rsidRDefault="000365CF" w:rsidP="00E667D7">
            <w:pPr>
              <w:jc w:val="center"/>
            </w:pPr>
          </w:p>
          <w:p w14:paraId="3FA4C4C2" w14:textId="471740F9" w:rsidR="000365CF" w:rsidRPr="00F67E88" w:rsidRDefault="00C25F59" w:rsidP="00724048">
            <w:pPr>
              <w:jc w:val="center"/>
            </w:pPr>
            <w:r w:rsidRPr="007A00F7">
              <w:t>£0</w:t>
            </w:r>
          </w:p>
        </w:tc>
      </w:tr>
      <w:tr w:rsidR="000365CF" w:rsidRPr="00CC2D77" w14:paraId="4150684A" w14:textId="77777777" w:rsidTr="007A00F7">
        <w:trPr>
          <w:cantSplit/>
          <w:trHeight w:val="293"/>
        </w:trPr>
        <w:tc>
          <w:tcPr>
            <w:tcW w:w="2122" w:type="dxa"/>
          </w:tcPr>
          <w:p w14:paraId="6A6E66EE" w14:textId="77777777" w:rsidR="000365CF" w:rsidRDefault="000365CF" w:rsidP="2934EBA0">
            <w:pPr>
              <w:shd w:val="clear" w:color="auto" w:fill="FFFFFF" w:themeFill="background1"/>
              <w:spacing w:after="75"/>
              <w:rPr>
                <w:b/>
                <w:bCs/>
              </w:rPr>
            </w:pPr>
          </w:p>
          <w:p w14:paraId="02D0D090" w14:textId="182BFBFA" w:rsidR="000365CF" w:rsidRPr="00F20A58" w:rsidRDefault="000365CF" w:rsidP="2934EBA0">
            <w:pPr>
              <w:shd w:val="clear" w:color="auto" w:fill="FFFFFF" w:themeFill="background1"/>
              <w:spacing w:after="75"/>
              <w:rPr>
                <w:b/>
                <w:bCs/>
              </w:rPr>
            </w:pPr>
            <w:r w:rsidRPr="00F20A58">
              <w:rPr>
                <w:b/>
                <w:bCs/>
              </w:rPr>
              <w:t>Monitoring Fee</w:t>
            </w:r>
          </w:p>
        </w:tc>
        <w:tc>
          <w:tcPr>
            <w:tcW w:w="1842" w:type="dxa"/>
          </w:tcPr>
          <w:p w14:paraId="7866367C" w14:textId="77777777" w:rsidR="000365CF" w:rsidRPr="00F67E88" w:rsidRDefault="000365CF" w:rsidP="00E667D7">
            <w:pPr>
              <w:jc w:val="center"/>
            </w:pPr>
          </w:p>
          <w:p w14:paraId="1FDDE2CE" w14:textId="2B286A9C" w:rsidR="000365CF" w:rsidRPr="00F67E88" w:rsidRDefault="00CA6B39" w:rsidP="00E667D7">
            <w:pPr>
              <w:jc w:val="center"/>
            </w:pPr>
            <w:r w:rsidRPr="00F67E88">
              <w:t>£</w:t>
            </w:r>
            <w:r w:rsidR="00256437" w:rsidRPr="00F67E88">
              <w:t>4</w:t>
            </w:r>
            <w:r w:rsidRPr="00F67E88">
              <w:t>,</w:t>
            </w:r>
            <w:r w:rsidR="00BD59A1" w:rsidRPr="00F67E88">
              <w:t>76</w:t>
            </w:r>
            <w:r w:rsidRPr="00F67E88">
              <w:t>0</w:t>
            </w:r>
          </w:p>
        </w:tc>
        <w:tc>
          <w:tcPr>
            <w:tcW w:w="1843" w:type="dxa"/>
          </w:tcPr>
          <w:p w14:paraId="6BA12907" w14:textId="77777777" w:rsidR="000365CF" w:rsidRPr="00F67E88" w:rsidRDefault="000365CF" w:rsidP="00E667D7">
            <w:pPr>
              <w:jc w:val="center"/>
            </w:pPr>
          </w:p>
          <w:p w14:paraId="1E52BF0C" w14:textId="488EA7D5" w:rsidR="000365CF" w:rsidRPr="00F67E88" w:rsidDel="00DB07E5" w:rsidRDefault="00437F2E" w:rsidP="00E667D7">
            <w:pPr>
              <w:jc w:val="center"/>
            </w:pPr>
            <w:r w:rsidRPr="00F67E88">
              <w:t xml:space="preserve"> </w:t>
            </w:r>
            <w:r w:rsidR="00020FC9" w:rsidRPr="00F67E88">
              <w:t>£</w:t>
            </w:r>
            <w:r w:rsidR="00B7512E" w:rsidRPr="00F67E88">
              <w:t>3</w:t>
            </w:r>
            <w:r w:rsidR="00C75E93" w:rsidRPr="00F67E88">
              <w:t>3</w:t>
            </w:r>
            <w:r w:rsidR="00B7512E" w:rsidRPr="00F67E88">
              <w:t>,</w:t>
            </w:r>
            <w:r w:rsidR="00C75E93" w:rsidRPr="00F67E88">
              <w:t>789</w:t>
            </w:r>
            <w:r w:rsidR="00B7512E" w:rsidRPr="00F67E88">
              <w:t>.00</w:t>
            </w:r>
          </w:p>
        </w:tc>
        <w:tc>
          <w:tcPr>
            <w:tcW w:w="1843" w:type="dxa"/>
          </w:tcPr>
          <w:p w14:paraId="195598A6" w14:textId="77777777" w:rsidR="000365CF" w:rsidRPr="00F67E88" w:rsidRDefault="000365CF" w:rsidP="00E667D7">
            <w:pPr>
              <w:jc w:val="center"/>
            </w:pPr>
          </w:p>
          <w:p w14:paraId="67780167" w14:textId="20AFF4F8" w:rsidR="000365CF" w:rsidRPr="00F67E88" w:rsidDel="00DB07E5" w:rsidRDefault="000365CF" w:rsidP="00E667D7">
            <w:pPr>
              <w:jc w:val="center"/>
            </w:pPr>
            <w:r w:rsidRPr="00F67E88">
              <w:t>£0</w:t>
            </w:r>
          </w:p>
        </w:tc>
        <w:tc>
          <w:tcPr>
            <w:tcW w:w="1843" w:type="dxa"/>
          </w:tcPr>
          <w:p w14:paraId="0D4578D6" w14:textId="77777777" w:rsidR="000365CF" w:rsidRPr="00F67E88" w:rsidRDefault="000365CF" w:rsidP="00E667D7">
            <w:pPr>
              <w:jc w:val="center"/>
            </w:pPr>
          </w:p>
          <w:p w14:paraId="01DAC8A7" w14:textId="23C962F5" w:rsidR="000365CF" w:rsidRPr="00F67E88" w:rsidDel="00DB07E5" w:rsidRDefault="00C25F59" w:rsidP="007446CB">
            <w:pPr>
              <w:jc w:val="center"/>
            </w:pPr>
            <w:r w:rsidRPr="007A00F7">
              <w:t>£1,200</w:t>
            </w:r>
          </w:p>
        </w:tc>
      </w:tr>
      <w:tr w:rsidR="000365CF" w14:paraId="178C39EA" w14:textId="77777777" w:rsidTr="007A00F7">
        <w:trPr>
          <w:cantSplit/>
          <w:trHeight w:val="293"/>
        </w:trPr>
        <w:tc>
          <w:tcPr>
            <w:tcW w:w="2122" w:type="dxa"/>
          </w:tcPr>
          <w:p w14:paraId="6EF9BFC5" w14:textId="77777777" w:rsidR="005563CE" w:rsidRDefault="005563CE" w:rsidP="000365CF">
            <w:pPr>
              <w:rPr>
                <w:b/>
                <w:bCs/>
              </w:rPr>
            </w:pPr>
          </w:p>
          <w:p w14:paraId="29F7142B" w14:textId="3052AE69" w:rsidR="000365CF" w:rsidRDefault="000365CF" w:rsidP="000365CF">
            <w:pPr>
              <w:rPr>
                <w:b/>
                <w:bCs/>
              </w:rPr>
            </w:pPr>
            <w:r w:rsidRPr="51FC8B29">
              <w:rPr>
                <w:b/>
                <w:bCs/>
              </w:rPr>
              <w:t>New Forest Mitigation</w:t>
            </w:r>
          </w:p>
        </w:tc>
        <w:tc>
          <w:tcPr>
            <w:tcW w:w="1842" w:type="dxa"/>
            <w:vAlign w:val="center"/>
          </w:tcPr>
          <w:p w14:paraId="09DBD9CB" w14:textId="39EFCA32" w:rsidR="000365CF" w:rsidRPr="00F67E88" w:rsidRDefault="00437F2E" w:rsidP="00E667D7">
            <w:pPr>
              <w:jc w:val="center"/>
            </w:pPr>
            <w:r w:rsidRPr="00F67E88">
              <w:t xml:space="preserve"> </w:t>
            </w:r>
            <w:r w:rsidR="003B1804" w:rsidRPr="00F67E88">
              <w:t>£</w:t>
            </w:r>
            <w:r w:rsidR="00462709" w:rsidRPr="00F67E88">
              <w:t>1,258,</w:t>
            </w:r>
            <w:r w:rsidR="00BB3431" w:rsidRPr="00F67E88">
              <w:t>52</w:t>
            </w:r>
            <w:r w:rsidR="00462709" w:rsidRPr="00F67E88">
              <w:t>5.8</w:t>
            </w:r>
            <w:r w:rsidR="001B36A4" w:rsidRPr="00F67E88">
              <w:t>9</w:t>
            </w:r>
          </w:p>
        </w:tc>
        <w:tc>
          <w:tcPr>
            <w:tcW w:w="1843" w:type="dxa"/>
          </w:tcPr>
          <w:p w14:paraId="56884A05" w14:textId="3F2CB8CE" w:rsidR="00841A85" w:rsidRDefault="00841A85" w:rsidP="00E667D7">
            <w:pPr>
              <w:jc w:val="center"/>
            </w:pPr>
          </w:p>
          <w:p w14:paraId="00281672" w14:textId="05616E6B" w:rsidR="000365CF" w:rsidRPr="00F67E88" w:rsidRDefault="00841A85" w:rsidP="00E667D7">
            <w:pPr>
              <w:jc w:val="center"/>
            </w:pPr>
            <w:r>
              <w:t>£</w:t>
            </w:r>
            <w:r w:rsidR="006260DC" w:rsidRPr="00F67E88">
              <w:t>161,186.87</w:t>
            </w:r>
          </w:p>
        </w:tc>
        <w:tc>
          <w:tcPr>
            <w:tcW w:w="1843" w:type="dxa"/>
          </w:tcPr>
          <w:p w14:paraId="5274E711" w14:textId="77777777" w:rsidR="00E667D7" w:rsidRPr="00F67E88" w:rsidRDefault="00E667D7" w:rsidP="00E667D7">
            <w:pPr>
              <w:jc w:val="center"/>
            </w:pPr>
          </w:p>
          <w:p w14:paraId="2551A164" w14:textId="166D7593" w:rsidR="00F92DCA" w:rsidRPr="00F67E88" w:rsidRDefault="008F081C" w:rsidP="00E667D7">
            <w:pPr>
              <w:jc w:val="center"/>
            </w:pPr>
            <w:r w:rsidRPr="00F67E88">
              <w:t>£ 0</w:t>
            </w:r>
          </w:p>
        </w:tc>
        <w:tc>
          <w:tcPr>
            <w:tcW w:w="1843" w:type="dxa"/>
          </w:tcPr>
          <w:p w14:paraId="5A05C9D3" w14:textId="63C3451F" w:rsidR="00FC29D4" w:rsidRPr="007A00F7" w:rsidRDefault="007D47C9" w:rsidP="007A00F7">
            <w:r w:rsidRPr="007A00F7">
              <w:t xml:space="preserve"> </w:t>
            </w:r>
            <w:r w:rsidRPr="00F67E88">
              <w:t xml:space="preserve">  </w:t>
            </w:r>
            <w:r w:rsidR="00CF14D4">
              <w:t>£</w:t>
            </w:r>
            <w:r w:rsidR="00AC3597" w:rsidRPr="00F67E88">
              <w:t>1,</w:t>
            </w:r>
            <w:r w:rsidR="009770C4" w:rsidRPr="00F67E88">
              <w:t>122,031.51</w:t>
            </w:r>
          </w:p>
          <w:p w14:paraId="03B41605" w14:textId="54FF6A3C" w:rsidR="000365CF" w:rsidRPr="00F67E88" w:rsidRDefault="000365CF" w:rsidP="00E667D7">
            <w:pPr>
              <w:jc w:val="center"/>
            </w:pPr>
          </w:p>
        </w:tc>
      </w:tr>
      <w:tr w:rsidR="000365CF" w:rsidRPr="00D134E1" w14:paraId="7952598B" w14:textId="77777777" w:rsidTr="007A00F7">
        <w:trPr>
          <w:cantSplit/>
          <w:trHeight w:val="293"/>
        </w:trPr>
        <w:tc>
          <w:tcPr>
            <w:tcW w:w="2122" w:type="dxa"/>
          </w:tcPr>
          <w:p w14:paraId="60290DA5" w14:textId="77777777" w:rsidR="000365CF" w:rsidRDefault="000365CF" w:rsidP="2934EBA0">
            <w:pPr>
              <w:shd w:val="clear" w:color="auto" w:fill="FFFFFF" w:themeFill="background1"/>
              <w:spacing w:after="75"/>
              <w:rPr>
                <w:b/>
                <w:bCs/>
              </w:rPr>
            </w:pPr>
          </w:p>
          <w:p w14:paraId="6F48595B" w14:textId="286FB2BF" w:rsidR="000365CF" w:rsidRPr="00F20A58" w:rsidRDefault="000365CF" w:rsidP="2934EBA0">
            <w:pPr>
              <w:shd w:val="clear" w:color="auto" w:fill="FFFFFF" w:themeFill="background1"/>
              <w:spacing w:after="75"/>
              <w:rPr>
                <w:b/>
                <w:bCs/>
              </w:rPr>
            </w:pPr>
            <w:r w:rsidRPr="00F20A58">
              <w:rPr>
                <w:b/>
                <w:bCs/>
              </w:rPr>
              <w:t>Nitrates Mitigation</w:t>
            </w:r>
          </w:p>
        </w:tc>
        <w:tc>
          <w:tcPr>
            <w:tcW w:w="1842" w:type="dxa"/>
          </w:tcPr>
          <w:p w14:paraId="612A1B9C" w14:textId="77777777" w:rsidR="000365CF" w:rsidRPr="00F67E88" w:rsidRDefault="000365CF" w:rsidP="000365CF">
            <w:pPr>
              <w:jc w:val="center"/>
            </w:pPr>
          </w:p>
          <w:p w14:paraId="5F3C7D3B" w14:textId="77777777" w:rsidR="000365CF" w:rsidRPr="00F67E88" w:rsidRDefault="000365CF" w:rsidP="000365CF">
            <w:pPr>
              <w:jc w:val="center"/>
            </w:pPr>
          </w:p>
          <w:p w14:paraId="4598DCD6" w14:textId="5C9DB668" w:rsidR="000365CF" w:rsidRPr="00F67E88" w:rsidRDefault="00C665A5" w:rsidP="000365CF">
            <w:pPr>
              <w:jc w:val="center"/>
            </w:pPr>
            <w:r w:rsidRPr="00F67E88">
              <w:t>£</w:t>
            </w:r>
            <w:r w:rsidR="007B2D03" w:rsidRPr="00F67E88">
              <w:t>0</w:t>
            </w:r>
          </w:p>
        </w:tc>
        <w:tc>
          <w:tcPr>
            <w:tcW w:w="1843" w:type="dxa"/>
          </w:tcPr>
          <w:p w14:paraId="0BAAEAFB" w14:textId="77777777" w:rsidR="000365CF" w:rsidRDefault="000365CF" w:rsidP="000365CF">
            <w:pPr>
              <w:jc w:val="center"/>
            </w:pPr>
          </w:p>
          <w:p w14:paraId="3E6CD5A0" w14:textId="77777777" w:rsidR="00CF14D4" w:rsidRPr="00F67E88" w:rsidRDefault="00CF14D4" w:rsidP="000365CF">
            <w:pPr>
              <w:jc w:val="center"/>
            </w:pPr>
          </w:p>
          <w:p w14:paraId="145CE36C" w14:textId="296BA261" w:rsidR="000365CF" w:rsidRPr="00F67E88" w:rsidDel="00DB07E5" w:rsidRDefault="00437F2E" w:rsidP="000365CF">
            <w:pPr>
              <w:jc w:val="center"/>
            </w:pPr>
            <w:r w:rsidRPr="00F67E88">
              <w:t xml:space="preserve">  </w:t>
            </w:r>
            <w:r w:rsidR="006260DC" w:rsidRPr="00F67E88">
              <w:t>£</w:t>
            </w:r>
            <w:r w:rsidR="00510E07" w:rsidRPr="00F67E88">
              <w:t>637,003.21</w:t>
            </w:r>
          </w:p>
        </w:tc>
        <w:tc>
          <w:tcPr>
            <w:tcW w:w="1843" w:type="dxa"/>
          </w:tcPr>
          <w:p w14:paraId="5C447F13" w14:textId="77777777" w:rsidR="000365CF" w:rsidRPr="00F67E88" w:rsidRDefault="000365CF" w:rsidP="000365CF">
            <w:pPr>
              <w:jc w:val="center"/>
            </w:pPr>
          </w:p>
          <w:p w14:paraId="65CE5A69" w14:textId="77777777" w:rsidR="001675FC" w:rsidRPr="00F67E88" w:rsidRDefault="001675FC" w:rsidP="001675FC"/>
          <w:p w14:paraId="4A8D6C5E" w14:textId="67621E1D" w:rsidR="000365CF" w:rsidRPr="00F67E88" w:rsidDel="00DB07E5" w:rsidRDefault="001675FC" w:rsidP="001675FC">
            <w:r w:rsidRPr="00F67E88">
              <w:t xml:space="preserve">           £0</w:t>
            </w:r>
          </w:p>
        </w:tc>
        <w:tc>
          <w:tcPr>
            <w:tcW w:w="1843" w:type="dxa"/>
          </w:tcPr>
          <w:p w14:paraId="5B07F28B" w14:textId="77777777" w:rsidR="000365CF" w:rsidRPr="00F67E88" w:rsidRDefault="000365CF" w:rsidP="000365CF">
            <w:pPr>
              <w:jc w:val="center"/>
            </w:pPr>
          </w:p>
          <w:p w14:paraId="4B868F3B" w14:textId="77777777" w:rsidR="000365CF" w:rsidRPr="00F67E88" w:rsidRDefault="000365CF" w:rsidP="000365CF">
            <w:pPr>
              <w:jc w:val="center"/>
            </w:pPr>
          </w:p>
          <w:p w14:paraId="2E832C97" w14:textId="5A0D5707" w:rsidR="000365CF" w:rsidRPr="00F67E88" w:rsidDel="00DB07E5" w:rsidRDefault="001675FC" w:rsidP="000365CF">
            <w:pPr>
              <w:jc w:val="center"/>
            </w:pPr>
            <w:r w:rsidRPr="00F67E88">
              <w:t>£0</w:t>
            </w:r>
          </w:p>
        </w:tc>
      </w:tr>
      <w:tr w:rsidR="000365CF" w:rsidRPr="00D134E1" w14:paraId="75E6FEB2" w14:textId="5190A88D" w:rsidTr="00CF14D4">
        <w:trPr>
          <w:cantSplit/>
          <w:trHeight w:val="337"/>
        </w:trPr>
        <w:tc>
          <w:tcPr>
            <w:tcW w:w="2122" w:type="dxa"/>
          </w:tcPr>
          <w:p w14:paraId="391E0584" w14:textId="77777777" w:rsidR="000365CF" w:rsidRPr="00F20A58" w:rsidRDefault="000365CF" w:rsidP="2934EBA0">
            <w:pPr>
              <w:shd w:val="clear" w:color="auto" w:fill="FFFFFF" w:themeFill="background1"/>
              <w:spacing w:after="75"/>
              <w:rPr>
                <w:b/>
                <w:bCs/>
              </w:rPr>
            </w:pPr>
          </w:p>
          <w:p w14:paraId="63695D11" w14:textId="3BD2BD72" w:rsidR="000365CF" w:rsidRPr="00F20A58" w:rsidRDefault="000365CF" w:rsidP="2934EBA0">
            <w:pPr>
              <w:shd w:val="clear" w:color="auto" w:fill="FFFFFF" w:themeFill="background1"/>
              <w:spacing w:after="75"/>
              <w:rPr>
                <w:b/>
                <w:bCs/>
              </w:rPr>
            </w:pPr>
            <w:r w:rsidRPr="00F20A58">
              <w:rPr>
                <w:b/>
                <w:bCs/>
              </w:rPr>
              <w:t xml:space="preserve">Open space and </w:t>
            </w:r>
            <w:r>
              <w:rPr>
                <w:b/>
                <w:bCs/>
              </w:rPr>
              <w:t>L</w:t>
            </w:r>
            <w:r w:rsidRPr="00F20A58">
              <w:rPr>
                <w:b/>
                <w:bCs/>
              </w:rPr>
              <w:t>eisure</w:t>
            </w:r>
          </w:p>
        </w:tc>
        <w:tc>
          <w:tcPr>
            <w:tcW w:w="1842" w:type="dxa"/>
          </w:tcPr>
          <w:p w14:paraId="0C4B3A9E" w14:textId="77777777" w:rsidR="000365CF" w:rsidRPr="00F67E88" w:rsidRDefault="000365CF" w:rsidP="00EF30C0">
            <w:pPr>
              <w:jc w:val="center"/>
            </w:pPr>
          </w:p>
          <w:p w14:paraId="6888F39E" w14:textId="13F8A36C" w:rsidR="000365CF" w:rsidRPr="00F67E88" w:rsidRDefault="00A37C2B" w:rsidP="00EF30C0">
            <w:pPr>
              <w:jc w:val="center"/>
            </w:pPr>
            <w:r w:rsidRPr="00F67E88">
              <w:t xml:space="preserve"> </w:t>
            </w:r>
            <w:r w:rsidR="00F40536" w:rsidRPr="00F67E88">
              <w:t>£</w:t>
            </w:r>
            <w:r w:rsidR="00246E4F" w:rsidRPr="00F67E88">
              <w:t>25,809.34</w:t>
            </w:r>
          </w:p>
          <w:p w14:paraId="5C244139" w14:textId="12DAA216" w:rsidR="000365CF" w:rsidRPr="00F67E88" w:rsidRDefault="000365CF" w:rsidP="00EF30C0">
            <w:pPr>
              <w:jc w:val="center"/>
            </w:pPr>
          </w:p>
        </w:tc>
        <w:tc>
          <w:tcPr>
            <w:tcW w:w="1843" w:type="dxa"/>
          </w:tcPr>
          <w:p w14:paraId="646942F0" w14:textId="77777777" w:rsidR="001675FC" w:rsidRPr="00F67E88" w:rsidRDefault="001675FC" w:rsidP="00EF30C0">
            <w:pPr>
              <w:jc w:val="center"/>
            </w:pPr>
          </w:p>
          <w:p w14:paraId="7CDC7EE1" w14:textId="16267E2D" w:rsidR="000365CF" w:rsidRPr="00F67E88" w:rsidRDefault="00BC35DF" w:rsidP="00EF30C0">
            <w:pPr>
              <w:jc w:val="center"/>
            </w:pPr>
            <w:r w:rsidRPr="00F67E88">
              <w:t>£1,</w:t>
            </w:r>
            <w:r w:rsidR="007169E6" w:rsidRPr="00F67E88">
              <w:t>369</w:t>
            </w:r>
            <w:r w:rsidRPr="00F67E88">
              <w:t>,</w:t>
            </w:r>
            <w:r w:rsidR="00C92E43" w:rsidRPr="00F67E88">
              <w:t>056</w:t>
            </w:r>
            <w:r w:rsidRPr="00F67E88">
              <w:t>.</w:t>
            </w:r>
            <w:r w:rsidR="00C92E43" w:rsidRPr="00F67E88">
              <w:t>45</w:t>
            </w:r>
          </w:p>
        </w:tc>
        <w:tc>
          <w:tcPr>
            <w:tcW w:w="1843" w:type="dxa"/>
          </w:tcPr>
          <w:p w14:paraId="4DC197B5" w14:textId="77777777" w:rsidR="000365CF" w:rsidRPr="00F67E88" w:rsidRDefault="000365CF" w:rsidP="00EF30C0">
            <w:pPr>
              <w:jc w:val="center"/>
            </w:pPr>
          </w:p>
          <w:p w14:paraId="33194552" w14:textId="31140FFF" w:rsidR="005F4830" w:rsidRPr="00F67E88" w:rsidRDefault="005C370D" w:rsidP="00CF14D4">
            <w:pPr>
              <w:jc w:val="center"/>
            </w:pPr>
            <w:r w:rsidRPr="00F67E88">
              <w:t>£</w:t>
            </w:r>
            <w:r w:rsidR="00032A9B" w:rsidRPr="00F67E88">
              <w:t>1,323,178.91</w:t>
            </w:r>
          </w:p>
        </w:tc>
        <w:tc>
          <w:tcPr>
            <w:tcW w:w="1843" w:type="dxa"/>
          </w:tcPr>
          <w:p w14:paraId="1D3CB125" w14:textId="1AADA7AF" w:rsidR="005B0D6C" w:rsidRPr="007A00F7" w:rsidRDefault="005B0D6C" w:rsidP="005B0D6C">
            <w:pPr>
              <w:jc w:val="center"/>
              <w:rPr>
                <w:strike/>
              </w:rPr>
            </w:pPr>
            <w:r w:rsidRPr="007A00F7">
              <w:t xml:space="preserve"> </w:t>
            </w:r>
          </w:p>
          <w:p w14:paraId="359F0B14" w14:textId="6791E56D" w:rsidR="000365CF" w:rsidRPr="00F67E88" w:rsidRDefault="005B0D6C" w:rsidP="00EF30C0">
            <w:pPr>
              <w:jc w:val="center"/>
            </w:pPr>
            <w:r w:rsidRPr="007A00F7">
              <w:t>£</w:t>
            </w:r>
            <w:r w:rsidR="004555A4">
              <w:t>814,484.30</w:t>
            </w:r>
            <w:r w:rsidR="00405C29">
              <w:t>*</w:t>
            </w:r>
            <w:r w:rsidR="00405C29" w:rsidRPr="008A2944">
              <w:rPr>
                <w:sz w:val="16"/>
                <w:szCs w:val="16"/>
              </w:rPr>
              <w:t>2</w:t>
            </w:r>
          </w:p>
        </w:tc>
      </w:tr>
      <w:tr w:rsidR="000365CF" w:rsidRPr="00D134E1" w14:paraId="404EC392" w14:textId="77777777" w:rsidTr="007A00F7">
        <w:trPr>
          <w:cantSplit/>
          <w:trHeight w:val="393"/>
        </w:trPr>
        <w:tc>
          <w:tcPr>
            <w:tcW w:w="2122" w:type="dxa"/>
          </w:tcPr>
          <w:p w14:paraId="0B45EC4F" w14:textId="77777777" w:rsidR="00326649" w:rsidRDefault="00326649" w:rsidP="2934EBA0">
            <w:pPr>
              <w:shd w:val="clear" w:color="auto" w:fill="FFFFFF" w:themeFill="background1"/>
              <w:spacing w:after="75"/>
              <w:rPr>
                <w:b/>
                <w:bCs/>
              </w:rPr>
            </w:pPr>
          </w:p>
          <w:p w14:paraId="01860ECE" w14:textId="71649AC3" w:rsidR="00326649" w:rsidRPr="00F20A58" w:rsidRDefault="000365CF" w:rsidP="2934EBA0">
            <w:pPr>
              <w:shd w:val="clear" w:color="auto" w:fill="FFFFFF" w:themeFill="background1"/>
              <w:spacing w:after="75"/>
              <w:rPr>
                <w:b/>
                <w:bCs/>
              </w:rPr>
            </w:pPr>
            <w:r>
              <w:rPr>
                <w:b/>
                <w:bCs/>
              </w:rPr>
              <w:t>Other</w:t>
            </w:r>
          </w:p>
        </w:tc>
        <w:tc>
          <w:tcPr>
            <w:tcW w:w="1842" w:type="dxa"/>
          </w:tcPr>
          <w:p w14:paraId="1D6D7A8E" w14:textId="77777777" w:rsidR="00326649" w:rsidRPr="001062EB" w:rsidRDefault="00326649" w:rsidP="00EF30C0">
            <w:pPr>
              <w:jc w:val="center"/>
            </w:pPr>
          </w:p>
          <w:p w14:paraId="0EF2A3E5" w14:textId="26C98E86" w:rsidR="000365CF" w:rsidRPr="001062EB" w:rsidRDefault="001A388D" w:rsidP="00EF30C0">
            <w:pPr>
              <w:jc w:val="center"/>
            </w:pPr>
            <w:r w:rsidRPr="001062EB">
              <w:t>£0</w:t>
            </w:r>
          </w:p>
        </w:tc>
        <w:tc>
          <w:tcPr>
            <w:tcW w:w="1843" w:type="dxa"/>
          </w:tcPr>
          <w:p w14:paraId="6CF3094B" w14:textId="77777777" w:rsidR="00326649" w:rsidRPr="001062EB" w:rsidRDefault="00326649" w:rsidP="00EF30C0">
            <w:pPr>
              <w:jc w:val="center"/>
            </w:pPr>
          </w:p>
          <w:p w14:paraId="0D863E5F" w14:textId="1306A1CB" w:rsidR="000365CF" w:rsidRPr="001062EB" w:rsidRDefault="00F60285" w:rsidP="00EF30C0">
            <w:pPr>
              <w:jc w:val="center"/>
            </w:pPr>
            <w:r w:rsidRPr="001062EB">
              <w:t xml:space="preserve">  </w:t>
            </w:r>
            <w:r w:rsidR="00B403FD" w:rsidRPr="001062EB">
              <w:t>£15,062.76</w:t>
            </w:r>
          </w:p>
        </w:tc>
        <w:tc>
          <w:tcPr>
            <w:tcW w:w="1843" w:type="dxa"/>
          </w:tcPr>
          <w:p w14:paraId="6DEC6279" w14:textId="77777777" w:rsidR="00326649" w:rsidRPr="001062EB" w:rsidRDefault="00326649" w:rsidP="00EF30C0">
            <w:pPr>
              <w:jc w:val="center"/>
            </w:pPr>
          </w:p>
          <w:p w14:paraId="721367A3" w14:textId="438B92F2" w:rsidR="000365CF" w:rsidRPr="007A00F7" w:rsidRDefault="00D16F62" w:rsidP="00636DBD">
            <w:pPr>
              <w:jc w:val="center"/>
              <w:rPr>
                <w:strike/>
              </w:rPr>
            </w:pPr>
            <w:r w:rsidRPr="001062EB">
              <w:t xml:space="preserve">£ </w:t>
            </w:r>
            <w:r w:rsidR="00636DBD" w:rsidRPr="001062EB">
              <w:t>10,325.54</w:t>
            </w:r>
          </w:p>
        </w:tc>
        <w:tc>
          <w:tcPr>
            <w:tcW w:w="1843" w:type="dxa"/>
          </w:tcPr>
          <w:p w14:paraId="78829B01" w14:textId="77777777" w:rsidR="00326649" w:rsidRPr="001062EB" w:rsidRDefault="00326649" w:rsidP="00EF30C0">
            <w:pPr>
              <w:jc w:val="center"/>
            </w:pPr>
          </w:p>
          <w:p w14:paraId="6D7BC558" w14:textId="03DE0C18" w:rsidR="000365CF" w:rsidRPr="001062EB" w:rsidRDefault="000365CF" w:rsidP="00EF30C0">
            <w:pPr>
              <w:jc w:val="center"/>
            </w:pPr>
            <w:r w:rsidRPr="001062EB">
              <w:t>£0</w:t>
            </w:r>
          </w:p>
        </w:tc>
      </w:tr>
      <w:tr w:rsidR="000365CF" w:rsidRPr="00D134E1" w14:paraId="222F4245" w14:textId="77777777" w:rsidTr="007A00F7">
        <w:trPr>
          <w:cantSplit/>
          <w:trHeight w:val="393"/>
        </w:trPr>
        <w:tc>
          <w:tcPr>
            <w:tcW w:w="2122" w:type="dxa"/>
          </w:tcPr>
          <w:p w14:paraId="11724D12" w14:textId="77777777" w:rsidR="000365CF" w:rsidRPr="00F20A58" w:rsidRDefault="000365CF" w:rsidP="2934EBA0">
            <w:pPr>
              <w:shd w:val="clear" w:color="auto" w:fill="FFFFFF" w:themeFill="background1"/>
              <w:spacing w:after="75"/>
              <w:rPr>
                <w:b/>
                <w:bCs/>
              </w:rPr>
            </w:pPr>
          </w:p>
          <w:p w14:paraId="7FCAE18C" w14:textId="1E988A2D" w:rsidR="000365CF" w:rsidRPr="00F20A58" w:rsidRDefault="000365CF" w:rsidP="2934EBA0">
            <w:pPr>
              <w:shd w:val="clear" w:color="auto" w:fill="FFFFFF" w:themeFill="background1"/>
              <w:spacing w:after="75"/>
              <w:rPr>
                <w:b/>
                <w:bCs/>
              </w:rPr>
            </w:pPr>
            <w:r w:rsidRPr="00F20A58">
              <w:rPr>
                <w:b/>
                <w:bCs/>
              </w:rPr>
              <w:t>Play Areas</w:t>
            </w:r>
          </w:p>
        </w:tc>
        <w:tc>
          <w:tcPr>
            <w:tcW w:w="1842" w:type="dxa"/>
          </w:tcPr>
          <w:p w14:paraId="01E25386" w14:textId="5CF9A3B5" w:rsidR="000365CF" w:rsidRPr="001062EB" w:rsidRDefault="000365CF" w:rsidP="00EF30C0">
            <w:pPr>
              <w:jc w:val="center"/>
            </w:pPr>
          </w:p>
          <w:p w14:paraId="253BA269" w14:textId="56B84DDE" w:rsidR="000365CF" w:rsidRPr="001062EB" w:rsidRDefault="004E425A" w:rsidP="00EF30C0">
            <w:pPr>
              <w:jc w:val="center"/>
            </w:pPr>
            <w:r w:rsidRPr="001062EB">
              <w:t xml:space="preserve">    </w:t>
            </w:r>
            <w:r w:rsidR="00C665A5" w:rsidRPr="001062EB">
              <w:t>£</w:t>
            </w:r>
            <w:r w:rsidR="007B2D03" w:rsidRPr="001062EB">
              <w:t>0</w:t>
            </w:r>
          </w:p>
        </w:tc>
        <w:tc>
          <w:tcPr>
            <w:tcW w:w="1843" w:type="dxa"/>
          </w:tcPr>
          <w:p w14:paraId="7805336B" w14:textId="700A3BE8" w:rsidR="000365CF" w:rsidRPr="001062EB" w:rsidRDefault="000365CF" w:rsidP="00EF30C0">
            <w:pPr>
              <w:jc w:val="center"/>
            </w:pPr>
          </w:p>
          <w:p w14:paraId="7BD25502" w14:textId="6DB115BE" w:rsidR="000365CF" w:rsidRPr="001062EB" w:rsidRDefault="00F60285" w:rsidP="00EF30C0">
            <w:pPr>
              <w:jc w:val="center"/>
            </w:pPr>
            <w:r w:rsidRPr="001062EB">
              <w:t xml:space="preserve"> </w:t>
            </w:r>
            <w:r w:rsidR="006409A6" w:rsidRPr="001062EB">
              <w:t>£163,529.44</w:t>
            </w:r>
          </w:p>
        </w:tc>
        <w:tc>
          <w:tcPr>
            <w:tcW w:w="1843" w:type="dxa"/>
          </w:tcPr>
          <w:p w14:paraId="2EC8292E" w14:textId="53A9155D" w:rsidR="000365CF" w:rsidRPr="001062EB" w:rsidRDefault="000365CF" w:rsidP="00EF30C0">
            <w:pPr>
              <w:jc w:val="center"/>
            </w:pPr>
          </w:p>
          <w:p w14:paraId="4F1416C7" w14:textId="5380D3A9" w:rsidR="00636DBD" w:rsidRPr="001062EB" w:rsidRDefault="00636DBD" w:rsidP="00EF30C0">
            <w:pPr>
              <w:jc w:val="center"/>
            </w:pPr>
            <w:r w:rsidRPr="001062EB">
              <w:t>£</w:t>
            </w:r>
            <w:r w:rsidR="003404B9" w:rsidRPr="001062EB">
              <w:t>50,203.98</w:t>
            </w:r>
            <w:r w:rsidRPr="001062EB">
              <w:t xml:space="preserve"> </w:t>
            </w:r>
          </w:p>
        </w:tc>
        <w:tc>
          <w:tcPr>
            <w:tcW w:w="1843" w:type="dxa"/>
          </w:tcPr>
          <w:p w14:paraId="727682E5" w14:textId="77777777" w:rsidR="00EF30C0" w:rsidRPr="001062EB" w:rsidRDefault="00EF30C0" w:rsidP="00EF30C0">
            <w:pPr>
              <w:jc w:val="center"/>
            </w:pPr>
          </w:p>
          <w:p w14:paraId="50BA9D3E" w14:textId="26680EAF" w:rsidR="000365CF" w:rsidRPr="001062EB" w:rsidRDefault="005E223D" w:rsidP="00901999">
            <w:pPr>
              <w:jc w:val="center"/>
            </w:pPr>
            <w:r w:rsidRPr="007A00F7">
              <w:t>£113,868.13</w:t>
            </w:r>
          </w:p>
        </w:tc>
      </w:tr>
      <w:tr w:rsidR="000365CF" w:rsidRPr="00D134E1" w14:paraId="75514E78" w14:textId="77777777" w:rsidTr="007A00F7">
        <w:trPr>
          <w:cantSplit/>
          <w:trHeight w:val="393"/>
        </w:trPr>
        <w:tc>
          <w:tcPr>
            <w:tcW w:w="2122" w:type="dxa"/>
          </w:tcPr>
          <w:p w14:paraId="581E8385" w14:textId="77777777" w:rsidR="000365CF" w:rsidRPr="00F20A58" w:rsidRDefault="000365CF" w:rsidP="2934EBA0">
            <w:pPr>
              <w:shd w:val="clear" w:color="auto" w:fill="FFFFFF" w:themeFill="background1"/>
              <w:spacing w:after="75"/>
              <w:rPr>
                <w:b/>
                <w:bCs/>
              </w:rPr>
            </w:pPr>
          </w:p>
          <w:p w14:paraId="30992EAE" w14:textId="28589567" w:rsidR="000365CF" w:rsidRPr="00F20A58" w:rsidRDefault="000365CF" w:rsidP="2934EBA0">
            <w:pPr>
              <w:shd w:val="clear" w:color="auto" w:fill="FFFFFF" w:themeFill="background1"/>
              <w:spacing w:after="75"/>
              <w:rPr>
                <w:b/>
                <w:bCs/>
              </w:rPr>
            </w:pPr>
            <w:r w:rsidRPr="00F20A58">
              <w:rPr>
                <w:b/>
                <w:bCs/>
              </w:rPr>
              <w:t>Public Art</w:t>
            </w:r>
          </w:p>
        </w:tc>
        <w:tc>
          <w:tcPr>
            <w:tcW w:w="1842" w:type="dxa"/>
          </w:tcPr>
          <w:p w14:paraId="56A604D6" w14:textId="77777777" w:rsidR="000365CF" w:rsidRPr="001062EB" w:rsidRDefault="000365CF" w:rsidP="00EF30C0">
            <w:pPr>
              <w:jc w:val="center"/>
            </w:pPr>
          </w:p>
          <w:p w14:paraId="7FA0A48C" w14:textId="2F2CD012" w:rsidR="000365CF" w:rsidRPr="001062EB" w:rsidRDefault="004E425A" w:rsidP="00EF30C0">
            <w:pPr>
              <w:jc w:val="center"/>
            </w:pPr>
            <w:r w:rsidRPr="001062EB">
              <w:t xml:space="preserve"> </w:t>
            </w:r>
            <w:r w:rsidR="00214D47" w:rsidRPr="001062EB">
              <w:t>£</w:t>
            </w:r>
            <w:r w:rsidR="0068689A" w:rsidRPr="001062EB">
              <w:t>35,</w:t>
            </w:r>
            <w:r w:rsidR="00CA6B39" w:rsidRPr="001062EB">
              <w:t>856.92</w:t>
            </w:r>
          </w:p>
        </w:tc>
        <w:tc>
          <w:tcPr>
            <w:tcW w:w="1843" w:type="dxa"/>
          </w:tcPr>
          <w:p w14:paraId="5A975E51" w14:textId="626A542B" w:rsidR="000365CF" w:rsidRPr="001062EB" w:rsidRDefault="000365CF" w:rsidP="00EF30C0">
            <w:pPr>
              <w:jc w:val="center"/>
            </w:pPr>
          </w:p>
          <w:p w14:paraId="50D578CF" w14:textId="7F6C181B" w:rsidR="000365CF" w:rsidRPr="001062EB" w:rsidRDefault="00F60285" w:rsidP="00EF30C0">
            <w:pPr>
              <w:jc w:val="center"/>
            </w:pPr>
            <w:r w:rsidRPr="001062EB">
              <w:t xml:space="preserve">  </w:t>
            </w:r>
            <w:r w:rsidR="00B756B0" w:rsidRPr="001062EB">
              <w:t>£226,249.99</w:t>
            </w:r>
          </w:p>
        </w:tc>
        <w:tc>
          <w:tcPr>
            <w:tcW w:w="1843" w:type="dxa"/>
          </w:tcPr>
          <w:p w14:paraId="6F49F7EA" w14:textId="242BDFA6" w:rsidR="000365CF" w:rsidRPr="001062EB" w:rsidRDefault="000365CF" w:rsidP="00EF30C0">
            <w:pPr>
              <w:jc w:val="center"/>
            </w:pPr>
          </w:p>
          <w:p w14:paraId="2888710C" w14:textId="14055DDB" w:rsidR="00F60285" w:rsidRPr="001062EB" w:rsidRDefault="00F60285" w:rsidP="00EF30C0">
            <w:pPr>
              <w:jc w:val="center"/>
            </w:pPr>
            <w:r w:rsidRPr="001062EB">
              <w:t xml:space="preserve">£ </w:t>
            </w:r>
            <w:r w:rsidR="00A41BD0" w:rsidRPr="001062EB">
              <w:t>250,093.96</w:t>
            </w:r>
          </w:p>
        </w:tc>
        <w:tc>
          <w:tcPr>
            <w:tcW w:w="1843" w:type="dxa"/>
          </w:tcPr>
          <w:p w14:paraId="31BB95BE" w14:textId="3B63A467" w:rsidR="000365CF" w:rsidRPr="001062EB" w:rsidRDefault="000365CF" w:rsidP="00EF30C0">
            <w:pPr>
              <w:jc w:val="center"/>
            </w:pPr>
          </w:p>
          <w:p w14:paraId="156596A7" w14:textId="2DA03968" w:rsidR="000365CF" w:rsidRPr="001062EB" w:rsidRDefault="00722D3A" w:rsidP="00EF30C0">
            <w:pPr>
              <w:jc w:val="center"/>
            </w:pPr>
            <w:r w:rsidRPr="007A00F7">
              <w:t>£156,625.84</w:t>
            </w:r>
          </w:p>
        </w:tc>
      </w:tr>
      <w:tr w:rsidR="000365CF" w:rsidRPr="00CC2D77" w14:paraId="6950CA39" w14:textId="77777777" w:rsidTr="007A00F7">
        <w:trPr>
          <w:cantSplit/>
          <w:trHeight w:val="393"/>
        </w:trPr>
        <w:tc>
          <w:tcPr>
            <w:tcW w:w="2122" w:type="dxa"/>
          </w:tcPr>
          <w:p w14:paraId="2E641CC8" w14:textId="77777777" w:rsidR="000365CF" w:rsidRDefault="000365CF" w:rsidP="2934EBA0">
            <w:pPr>
              <w:shd w:val="clear" w:color="auto" w:fill="FFFFFF" w:themeFill="background1"/>
              <w:spacing w:after="75"/>
              <w:rPr>
                <w:b/>
                <w:bCs/>
              </w:rPr>
            </w:pPr>
          </w:p>
          <w:p w14:paraId="3CBE9071" w14:textId="65740156" w:rsidR="000365CF" w:rsidRPr="00F20A58" w:rsidRDefault="000365CF" w:rsidP="2934EBA0">
            <w:pPr>
              <w:shd w:val="clear" w:color="auto" w:fill="FFFFFF" w:themeFill="background1"/>
              <w:spacing w:after="75"/>
              <w:rPr>
                <w:b/>
                <w:bCs/>
              </w:rPr>
            </w:pPr>
            <w:r w:rsidRPr="00F20A58">
              <w:rPr>
                <w:b/>
                <w:bCs/>
              </w:rPr>
              <w:t>Sites of Importance for Nature Conservation</w:t>
            </w:r>
          </w:p>
        </w:tc>
        <w:tc>
          <w:tcPr>
            <w:tcW w:w="1842" w:type="dxa"/>
          </w:tcPr>
          <w:p w14:paraId="165CE355" w14:textId="77777777" w:rsidR="000365CF" w:rsidRPr="001062EB" w:rsidRDefault="000365CF" w:rsidP="00EF30C0">
            <w:pPr>
              <w:jc w:val="center"/>
            </w:pPr>
          </w:p>
          <w:p w14:paraId="39F61A4D" w14:textId="77777777" w:rsidR="000365CF" w:rsidRPr="001062EB" w:rsidRDefault="000365CF" w:rsidP="00EF30C0">
            <w:pPr>
              <w:jc w:val="center"/>
            </w:pPr>
          </w:p>
          <w:p w14:paraId="09882594" w14:textId="381D65DD" w:rsidR="000365CF" w:rsidRPr="001062EB" w:rsidRDefault="000365CF" w:rsidP="00EF30C0">
            <w:pPr>
              <w:jc w:val="center"/>
            </w:pPr>
          </w:p>
          <w:p w14:paraId="75B80E06" w14:textId="0A1B2B52" w:rsidR="000365CF" w:rsidRPr="001062EB" w:rsidRDefault="000365CF" w:rsidP="00EF30C0">
            <w:pPr>
              <w:jc w:val="center"/>
            </w:pPr>
            <w:r w:rsidRPr="001062EB">
              <w:t>£0</w:t>
            </w:r>
          </w:p>
        </w:tc>
        <w:tc>
          <w:tcPr>
            <w:tcW w:w="1843" w:type="dxa"/>
          </w:tcPr>
          <w:p w14:paraId="7B6725A8" w14:textId="13208B50" w:rsidR="000365CF" w:rsidRPr="001062EB" w:rsidRDefault="000365CF" w:rsidP="00EF30C0">
            <w:pPr>
              <w:jc w:val="center"/>
            </w:pPr>
          </w:p>
          <w:p w14:paraId="45F82C1A" w14:textId="77777777" w:rsidR="000365CF" w:rsidRPr="001062EB" w:rsidRDefault="000365CF" w:rsidP="00EF30C0">
            <w:pPr>
              <w:jc w:val="center"/>
            </w:pPr>
          </w:p>
          <w:p w14:paraId="67A45F49" w14:textId="77777777" w:rsidR="000365CF" w:rsidRPr="001062EB" w:rsidRDefault="000365CF" w:rsidP="00EF30C0">
            <w:pPr>
              <w:jc w:val="center"/>
            </w:pPr>
          </w:p>
          <w:p w14:paraId="30FEE741" w14:textId="72A252D1" w:rsidR="000365CF" w:rsidRPr="001062EB" w:rsidRDefault="00183711" w:rsidP="00EF30C0">
            <w:pPr>
              <w:jc w:val="center"/>
            </w:pPr>
            <w:r w:rsidRPr="001062EB">
              <w:t>£0</w:t>
            </w:r>
          </w:p>
        </w:tc>
        <w:tc>
          <w:tcPr>
            <w:tcW w:w="1843" w:type="dxa"/>
          </w:tcPr>
          <w:p w14:paraId="58B79BA4" w14:textId="77777777" w:rsidR="000365CF" w:rsidRPr="001062EB" w:rsidRDefault="000365CF" w:rsidP="00EF30C0">
            <w:pPr>
              <w:jc w:val="center"/>
            </w:pPr>
          </w:p>
          <w:p w14:paraId="610AE013" w14:textId="77777777" w:rsidR="000365CF" w:rsidRPr="001062EB" w:rsidRDefault="000365CF" w:rsidP="00EF30C0">
            <w:pPr>
              <w:jc w:val="center"/>
            </w:pPr>
          </w:p>
          <w:p w14:paraId="19EEC5ED" w14:textId="77777777" w:rsidR="000365CF" w:rsidRPr="001062EB" w:rsidRDefault="000365CF" w:rsidP="00EF30C0">
            <w:pPr>
              <w:jc w:val="center"/>
            </w:pPr>
          </w:p>
          <w:p w14:paraId="3DFA71D2" w14:textId="54487B40" w:rsidR="000365CF" w:rsidRPr="001062EB" w:rsidRDefault="000365CF" w:rsidP="00EF30C0">
            <w:pPr>
              <w:jc w:val="center"/>
            </w:pPr>
            <w:r w:rsidRPr="001062EB">
              <w:t>£0</w:t>
            </w:r>
          </w:p>
        </w:tc>
        <w:tc>
          <w:tcPr>
            <w:tcW w:w="1843" w:type="dxa"/>
          </w:tcPr>
          <w:p w14:paraId="7DA1D2D1" w14:textId="6A3A2DCE" w:rsidR="000365CF" w:rsidRPr="001062EB" w:rsidRDefault="000365CF" w:rsidP="00EF30C0">
            <w:pPr>
              <w:jc w:val="center"/>
            </w:pPr>
          </w:p>
          <w:p w14:paraId="466676C9" w14:textId="77777777" w:rsidR="000365CF" w:rsidRPr="001062EB" w:rsidRDefault="000365CF" w:rsidP="00EF30C0">
            <w:pPr>
              <w:jc w:val="center"/>
            </w:pPr>
          </w:p>
          <w:p w14:paraId="4F6150A5" w14:textId="77777777" w:rsidR="000365CF" w:rsidRPr="001062EB" w:rsidRDefault="000365CF" w:rsidP="00EF30C0">
            <w:pPr>
              <w:jc w:val="center"/>
            </w:pPr>
          </w:p>
          <w:p w14:paraId="4BED4A86" w14:textId="0FE3B201" w:rsidR="000365CF" w:rsidRPr="001062EB" w:rsidRDefault="000365CF" w:rsidP="00EF30C0">
            <w:pPr>
              <w:jc w:val="center"/>
            </w:pPr>
            <w:r w:rsidRPr="001062EB">
              <w:t>£0</w:t>
            </w:r>
          </w:p>
        </w:tc>
      </w:tr>
      <w:tr w:rsidR="000365CF" w:rsidRPr="00D134E1" w14:paraId="4FED6466" w14:textId="52521EF1" w:rsidTr="007A00F7">
        <w:trPr>
          <w:cantSplit/>
          <w:trHeight w:val="977"/>
        </w:trPr>
        <w:tc>
          <w:tcPr>
            <w:tcW w:w="2122" w:type="dxa"/>
          </w:tcPr>
          <w:p w14:paraId="3659233A" w14:textId="77777777" w:rsidR="000365CF" w:rsidRPr="00FE24B9" w:rsidRDefault="000365CF" w:rsidP="2934EBA0">
            <w:pPr>
              <w:shd w:val="clear" w:color="auto" w:fill="FFFFFF" w:themeFill="background1"/>
              <w:spacing w:after="75"/>
              <w:rPr>
                <w:b/>
              </w:rPr>
            </w:pPr>
          </w:p>
          <w:p w14:paraId="3AF968D6" w14:textId="77777777" w:rsidR="000365CF" w:rsidRDefault="000365CF" w:rsidP="2934EBA0">
            <w:pPr>
              <w:shd w:val="clear" w:color="auto" w:fill="FFFFFF" w:themeFill="background1"/>
              <w:spacing w:after="75"/>
              <w:rPr>
                <w:b/>
                <w:bCs/>
              </w:rPr>
            </w:pPr>
            <w:r w:rsidRPr="00F20A58">
              <w:rPr>
                <w:b/>
                <w:bCs/>
              </w:rPr>
              <w:t xml:space="preserve">Solent Recreation Mitigation Partnership </w:t>
            </w:r>
          </w:p>
          <w:p w14:paraId="49FAA0C7" w14:textId="14A938EC" w:rsidR="000365CF" w:rsidRPr="00F20A58" w:rsidRDefault="000365CF" w:rsidP="2934EBA0">
            <w:pPr>
              <w:shd w:val="clear" w:color="auto" w:fill="FFFFFF" w:themeFill="background1"/>
              <w:spacing w:after="75"/>
              <w:rPr>
                <w:b/>
                <w:bCs/>
              </w:rPr>
            </w:pPr>
            <w:r w:rsidRPr="00F20A58">
              <w:rPr>
                <w:b/>
                <w:bCs/>
              </w:rPr>
              <w:t>(Bird Aware)</w:t>
            </w:r>
          </w:p>
        </w:tc>
        <w:tc>
          <w:tcPr>
            <w:tcW w:w="1842" w:type="dxa"/>
          </w:tcPr>
          <w:p w14:paraId="045F5282" w14:textId="77777777" w:rsidR="000365CF" w:rsidRPr="00901999" w:rsidRDefault="000365CF" w:rsidP="000365CF">
            <w:pPr>
              <w:jc w:val="center"/>
            </w:pPr>
          </w:p>
          <w:p w14:paraId="5E95EF9C" w14:textId="368804B9" w:rsidR="000365CF" w:rsidRPr="00901999" w:rsidRDefault="000365CF" w:rsidP="000365CF">
            <w:pPr>
              <w:jc w:val="center"/>
            </w:pPr>
          </w:p>
          <w:p w14:paraId="2C3EF4D2" w14:textId="77777777" w:rsidR="000365CF" w:rsidRPr="00901999" w:rsidRDefault="000365CF" w:rsidP="000365CF">
            <w:pPr>
              <w:jc w:val="center"/>
            </w:pPr>
          </w:p>
          <w:p w14:paraId="2EF6DF9D" w14:textId="35A83175" w:rsidR="000365CF" w:rsidRPr="00901999" w:rsidRDefault="007B2D03" w:rsidP="000365CF">
            <w:pPr>
              <w:jc w:val="center"/>
            </w:pPr>
            <w:r w:rsidRPr="00901999">
              <w:t>£10,440.25</w:t>
            </w:r>
          </w:p>
        </w:tc>
        <w:tc>
          <w:tcPr>
            <w:tcW w:w="1843" w:type="dxa"/>
          </w:tcPr>
          <w:p w14:paraId="32849679" w14:textId="16F250CD" w:rsidR="000365CF" w:rsidRPr="00901999" w:rsidRDefault="000365CF" w:rsidP="000365CF">
            <w:pPr>
              <w:jc w:val="center"/>
            </w:pPr>
          </w:p>
          <w:p w14:paraId="4FE3B8F0" w14:textId="77777777" w:rsidR="000365CF" w:rsidRPr="00901999" w:rsidRDefault="000365CF" w:rsidP="000365CF">
            <w:pPr>
              <w:jc w:val="center"/>
            </w:pPr>
          </w:p>
          <w:p w14:paraId="43823534" w14:textId="592697FA" w:rsidR="00CE006F" w:rsidRPr="00901999" w:rsidRDefault="00CE006F" w:rsidP="000365CF">
            <w:pPr>
              <w:jc w:val="center"/>
            </w:pPr>
          </w:p>
          <w:p w14:paraId="0739215C" w14:textId="28F11368" w:rsidR="000365CF" w:rsidRPr="00901999" w:rsidRDefault="00F2578A" w:rsidP="000365CF">
            <w:pPr>
              <w:jc w:val="center"/>
            </w:pPr>
            <w:r w:rsidRPr="00901999">
              <w:t>£214,431.97</w:t>
            </w:r>
          </w:p>
        </w:tc>
        <w:tc>
          <w:tcPr>
            <w:tcW w:w="1843" w:type="dxa"/>
          </w:tcPr>
          <w:p w14:paraId="39AD45F0" w14:textId="77777777" w:rsidR="000365CF" w:rsidRPr="007A00F7" w:rsidRDefault="000365CF" w:rsidP="000365CF">
            <w:pPr>
              <w:jc w:val="center"/>
              <w:rPr>
                <w:highlight w:val="yellow"/>
              </w:rPr>
            </w:pPr>
          </w:p>
          <w:p w14:paraId="19E2B6B3" w14:textId="77777777" w:rsidR="000365CF" w:rsidRPr="007A00F7" w:rsidRDefault="000365CF" w:rsidP="000365CF">
            <w:pPr>
              <w:jc w:val="center"/>
              <w:rPr>
                <w:highlight w:val="yellow"/>
              </w:rPr>
            </w:pPr>
          </w:p>
          <w:p w14:paraId="542BF59F" w14:textId="77777777" w:rsidR="000365CF" w:rsidRPr="007A00F7" w:rsidRDefault="000365CF" w:rsidP="000365CF">
            <w:pPr>
              <w:jc w:val="center"/>
              <w:rPr>
                <w:highlight w:val="yellow"/>
              </w:rPr>
            </w:pPr>
          </w:p>
          <w:p w14:paraId="7EC9B29A" w14:textId="7D9EF644" w:rsidR="000365CF" w:rsidRPr="007A00F7" w:rsidRDefault="00C5325E" w:rsidP="00617BC3">
            <w:pPr>
              <w:jc w:val="center"/>
              <w:rPr>
                <w:highlight w:val="yellow"/>
              </w:rPr>
            </w:pPr>
            <w:r w:rsidRPr="00C8251F">
              <w:t>N/A</w:t>
            </w:r>
          </w:p>
        </w:tc>
        <w:tc>
          <w:tcPr>
            <w:tcW w:w="1843" w:type="dxa"/>
          </w:tcPr>
          <w:p w14:paraId="32FFE03F" w14:textId="77777777" w:rsidR="000365CF" w:rsidRPr="007A00F7" w:rsidRDefault="000365CF" w:rsidP="000365CF">
            <w:pPr>
              <w:jc w:val="center"/>
              <w:rPr>
                <w:highlight w:val="yellow"/>
              </w:rPr>
            </w:pPr>
          </w:p>
          <w:p w14:paraId="3DFF21D3" w14:textId="77777777" w:rsidR="000365CF" w:rsidRPr="007A00F7" w:rsidRDefault="000365CF" w:rsidP="000365CF">
            <w:pPr>
              <w:jc w:val="center"/>
              <w:rPr>
                <w:highlight w:val="yellow"/>
              </w:rPr>
            </w:pPr>
          </w:p>
          <w:p w14:paraId="0678EAF0" w14:textId="085C7A41" w:rsidR="00EC64E0" w:rsidRDefault="00C737BD" w:rsidP="000365CF">
            <w:pPr>
              <w:jc w:val="center"/>
              <w:rPr>
                <w:highlight w:val="yellow"/>
              </w:rPr>
            </w:pPr>
            <w:r w:rsidRPr="007A00F7">
              <w:rPr>
                <w:highlight w:val="yellow"/>
              </w:rPr>
              <w:t xml:space="preserve"> </w:t>
            </w:r>
          </w:p>
          <w:p w14:paraId="3379E628" w14:textId="5A6118F8" w:rsidR="000365CF" w:rsidRPr="007A00F7" w:rsidRDefault="00C737BD" w:rsidP="000365CF">
            <w:pPr>
              <w:jc w:val="center"/>
              <w:rPr>
                <w:highlight w:val="yellow"/>
              </w:rPr>
            </w:pPr>
            <w:r w:rsidRPr="007A00F7">
              <w:t>£337,</w:t>
            </w:r>
            <w:r w:rsidR="0039657D">
              <w:t>234.89</w:t>
            </w:r>
            <w:r w:rsidR="00EF2CD0">
              <w:rPr>
                <w:sz w:val="16"/>
                <w:szCs w:val="16"/>
              </w:rPr>
              <w:t>*4</w:t>
            </w:r>
          </w:p>
        </w:tc>
      </w:tr>
      <w:tr w:rsidR="000365CF" w:rsidRPr="00D134E1" w14:paraId="06439101" w14:textId="77777777" w:rsidTr="007A00F7">
        <w:trPr>
          <w:cantSplit/>
          <w:trHeight w:val="393"/>
        </w:trPr>
        <w:tc>
          <w:tcPr>
            <w:tcW w:w="2122" w:type="dxa"/>
          </w:tcPr>
          <w:p w14:paraId="139AB5A8" w14:textId="07598001" w:rsidR="000365CF" w:rsidRPr="00F20A58" w:rsidRDefault="000365CF" w:rsidP="2934EBA0">
            <w:pPr>
              <w:shd w:val="clear" w:color="auto" w:fill="FFFFFF" w:themeFill="background1"/>
              <w:spacing w:after="75"/>
              <w:rPr>
                <w:b/>
                <w:bCs/>
              </w:rPr>
            </w:pPr>
            <w:r>
              <w:rPr>
                <w:b/>
                <w:bCs/>
              </w:rPr>
              <w:t>Sustainable Urban Drainage Systems (SUDS)</w:t>
            </w:r>
          </w:p>
        </w:tc>
        <w:tc>
          <w:tcPr>
            <w:tcW w:w="1842" w:type="dxa"/>
          </w:tcPr>
          <w:p w14:paraId="60AFFC6C" w14:textId="77777777" w:rsidR="000365CF" w:rsidRPr="00901999" w:rsidRDefault="000365CF" w:rsidP="000365CF">
            <w:pPr>
              <w:jc w:val="center"/>
            </w:pPr>
          </w:p>
          <w:p w14:paraId="3137B092" w14:textId="0EED2B94" w:rsidR="000365CF" w:rsidRPr="00901999" w:rsidRDefault="000365CF" w:rsidP="000365CF">
            <w:pPr>
              <w:jc w:val="center"/>
            </w:pPr>
            <w:r w:rsidRPr="00901999">
              <w:t>£0</w:t>
            </w:r>
          </w:p>
        </w:tc>
        <w:tc>
          <w:tcPr>
            <w:tcW w:w="1843" w:type="dxa"/>
          </w:tcPr>
          <w:p w14:paraId="52C706FB" w14:textId="5A07C0A7" w:rsidR="00CE006F" w:rsidRPr="00901999" w:rsidRDefault="00CE006F" w:rsidP="000365CF">
            <w:pPr>
              <w:jc w:val="center"/>
            </w:pPr>
          </w:p>
          <w:p w14:paraId="407D8FE7" w14:textId="44FA5621" w:rsidR="000365CF" w:rsidRPr="00901999" w:rsidRDefault="00A8123D" w:rsidP="000365CF">
            <w:pPr>
              <w:jc w:val="center"/>
            </w:pPr>
            <w:r w:rsidRPr="00901999">
              <w:t>£73,189.08</w:t>
            </w:r>
          </w:p>
        </w:tc>
        <w:tc>
          <w:tcPr>
            <w:tcW w:w="1843" w:type="dxa"/>
          </w:tcPr>
          <w:p w14:paraId="6F3382E9" w14:textId="77777777" w:rsidR="000365CF" w:rsidRPr="007A00F7" w:rsidRDefault="000365CF" w:rsidP="000365CF">
            <w:pPr>
              <w:jc w:val="center"/>
              <w:rPr>
                <w:highlight w:val="yellow"/>
              </w:rPr>
            </w:pPr>
          </w:p>
          <w:p w14:paraId="2C0679F8" w14:textId="075C8B66" w:rsidR="000365CF" w:rsidRPr="007A00F7" w:rsidRDefault="000365CF" w:rsidP="000365CF">
            <w:pPr>
              <w:jc w:val="center"/>
              <w:rPr>
                <w:highlight w:val="yellow"/>
              </w:rPr>
            </w:pPr>
            <w:r w:rsidRPr="00C8251F">
              <w:t>£0</w:t>
            </w:r>
          </w:p>
        </w:tc>
        <w:tc>
          <w:tcPr>
            <w:tcW w:w="1843" w:type="dxa"/>
          </w:tcPr>
          <w:p w14:paraId="15CA8CC9" w14:textId="77777777" w:rsidR="000365CF" w:rsidRPr="007A00F7" w:rsidRDefault="000365CF" w:rsidP="000365CF">
            <w:pPr>
              <w:jc w:val="center"/>
              <w:rPr>
                <w:highlight w:val="yellow"/>
              </w:rPr>
            </w:pPr>
          </w:p>
          <w:p w14:paraId="0F81EBE6" w14:textId="7676A958" w:rsidR="000365CF" w:rsidRPr="007A00F7" w:rsidRDefault="003731A9" w:rsidP="00901999">
            <w:pPr>
              <w:jc w:val="center"/>
              <w:rPr>
                <w:highlight w:val="yellow"/>
              </w:rPr>
            </w:pPr>
            <w:r w:rsidRPr="007A00F7">
              <w:t>£3,647.99</w:t>
            </w:r>
          </w:p>
        </w:tc>
      </w:tr>
      <w:tr w:rsidR="000365CF" w:rsidRPr="00D134E1" w14:paraId="55A012E2" w14:textId="77777777" w:rsidTr="007A00F7">
        <w:trPr>
          <w:cantSplit/>
          <w:trHeight w:val="393"/>
        </w:trPr>
        <w:tc>
          <w:tcPr>
            <w:tcW w:w="2122" w:type="dxa"/>
          </w:tcPr>
          <w:p w14:paraId="5995FDF4" w14:textId="77777777" w:rsidR="000365CF" w:rsidRPr="00FE24B9" w:rsidRDefault="000365CF" w:rsidP="2934EBA0">
            <w:pPr>
              <w:shd w:val="clear" w:color="auto" w:fill="FFFFFF" w:themeFill="background1"/>
              <w:spacing w:after="75"/>
              <w:rPr>
                <w:b/>
              </w:rPr>
            </w:pPr>
          </w:p>
          <w:p w14:paraId="5297F8EE" w14:textId="39C5AF4E" w:rsidR="000365CF" w:rsidRPr="00F20A58" w:rsidRDefault="000365CF" w:rsidP="2934EBA0">
            <w:pPr>
              <w:shd w:val="clear" w:color="auto" w:fill="FFFFFF" w:themeFill="background1"/>
              <w:spacing w:after="75"/>
              <w:rPr>
                <w:b/>
                <w:bCs/>
              </w:rPr>
            </w:pPr>
            <w:r w:rsidRPr="00F20A58">
              <w:rPr>
                <w:b/>
                <w:bCs/>
              </w:rPr>
              <w:t>Town Centre</w:t>
            </w:r>
          </w:p>
        </w:tc>
        <w:tc>
          <w:tcPr>
            <w:tcW w:w="1842" w:type="dxa"/>
          </w:tcPr>
          <w:p w14:paraId="27F6A060" w14:textId="77777777" w:rsidR="000365CF" w:rsidRPr="00901999" w:rsidRDefault="000365CF" w:rsidP="000365CF">
            <w:pPr>
              <w:jc w:val="center"/>
            </w:pPr>
          </w:p>
          <w:p w14:paraId="2B359C4E" w14:textId="4FA3871D" w:rsidR="000365CF" w:rsidRPr="00901999" w:rsidRDefault="000365CF" w:rsidP="000365CF">
            <w:pPr>
              <w:jc w:val="center"/>
            </w:pPr>
            <w:r w:rsidRPr="00901999">
              <w:t>£0</w:t>
            </w:r>
          </w:p>
        </w:tc>
        <w:tc>
          <w:tcPr>
            <w:tcW w:w="1843" w:type="dxa"/>
          </w:tcPr>
          <w:p w14:paraId="7112F20E" w14:textId="77777777" w:rsidR="000365CF" w:rsidRPr="00901999" w:rsidRDefault="000365CF" w:rsidP="000365CF">
            <w:pPr>
              <w:jc w:val="center"/>
            </w:pPr>
          </w:p>
          <w:p w14:paraId="42BA1EA6" w14:textId="6D79B49E" w:rsidR="000365CF" w:rsidRPr="00901999" w:rsidRDefault="000365CF" w:rsidP="000365CF">
            <w:pPr>
              <w:jc w:val="center"/>
            </w:pPr>
            <w:r w:rsidRPr="00901999">
              <w:t>£0</w:t>
            </w:r>
          </w:p>
        </w:tc>
        <w:tc>
          <w:tcPr>
            <w:tcW w:w="1843" w:type="dxa"/>
          </w:tcPr>
          <w:p w14:paraId="7BEBACA2" w14:textId="77777777" w:rsidR="000365CF" w:rsidRPr="007A00F7" w:rsidRDefault="000365CF" w:rsidP="000365CF">
            <w:pPr>
              <w:jc w:val="center"/>
              <w:rPr>
                <w:highlight w:val="yellow"/>
              </w:rPr>
            </w:pPr>
          </w:p>
          <w:p w14:paraId="793696A0" w14:textId="7EDCE936" w:rsidR="000365CF" w:rsidRPr="007A00F7" w:rsidRDefault="000365CF" w:rsidP="000365CF">
            <w:pPr>
              <w:jc w:val="center"/>
              <w:rPr>
                <w:highlight w:val="yellow"/>
              </w:rPr>
            </w:pPr>
            <w:r w:rsidRPr="00C8251F">
              <w:t>£0</w:t>
            </w:r>
          </w:p>
        </w:tc>
        <w:tc>
          <w:tcPr>
            <w:tcW w:w="1843" w:type="dxa"/>
          </w:tcPr>
          <w:p w14:paraId="592129BF" w14:textId="0CEB5C0C" w:rsidR="003731A9" w:rsidRDefault="003731A9" w:rsidP="003731A9">
            <w:pPr>
              <w:jc w:val="center"/>
              <w:rPr>
                <w:highlight w:val="yellow"/>
              </w:rPr>
            </w:pPr>
          </w:p>
          <w:p w14:paraId="3E3D6D8A" w14:textId="2943B71A" w:rsidR="000365CF" w:rsidRPr="007A00F7" w:rsidRDefault="003731A9" w:rsidP="000365CF">
            <w:pPr>
              <w:jc w:val="center"/>
              <w:rPr>
                <w:highlight w:val="yellow"/>
              </w:rPr>
            </w:pPr>
            <w:r w:rsidRPr="007A00F7">
              <w:t>£9,803.74</w:t>
            </w:r>
          </w:p>
        </w:tc>
      </w:tr>
      <w:tr w:rsidR="000365CF" w:rsidRPr="00D134E1" w14:paraId="06BDE6E8" w14:textId="77777777" w:rsidTr="007A00F7">
        <w:trPr>
          <w:cantSplit/>
          <w:trHeight w:val="393"/>
        </w:trPr>
        <w:tc>
          <w:tcPr>
            <w:tcW w:w="2122" w:type="dxa"/>
          </w:tcPr>
          <w:p w14:paraId="31DEF689" w14:textId="77777777" w:rsidR="000365CF" w:rsidRPr="00FE24B9" w:rsidRDefault="000365CF" w:rsidP="2934EBA0">
            <w:pPr>
              <w:shd w:val="clear" w:color="auto" w:fill="FFFFFF" w:themeFill="background1"/>
              <w:spacing w:after="75"/>
              <w:rPr>
                <w:b/>
              </w:rPr>
            </w:pPr>
          </w:p>
          <w:p w14:paraId="5DE2E537" w14:textId="76971743" w:rsidR="000365CF" w:rsidRPr="00F20A58" w:rsidRDefault="000365CF" w:rsidP="2934EBA0">
            <w:pPr>
              <w:shd w:val="clear" w:color="auto" w:fill="FFFFFF" w:themeFill="background1"/>
              <w:spacing w:after="75"/>
              <w:rPr>
                <w:b/>
                <w:bCs/>
              </w:rPr>
            </w:pPr>
            <w:r w:rsidRPr="00F20A58">
              <w:rPr>
                <w:b/>
                <w:bCs/>
              </w:rPr>
              <w:t>Traffic Regulation Order</w:t>
            </w:r>
          </w:p>
        </w:tc>
        <w:tc>
          <w:tcPr>
            <w:tcW w:w="1842" w:type="dxa"/>
          </w:tcPr>
          <w:p w14:paraId="0F623D3F" w14:textId="77777777" w:rsidR="000365CF" w:rsidRPr="00901999" w:rsidRDefault="000365CF" w:rsidP="000365CF">
            <w:pPr>
              <w:jc w:val="center"/>
            </w:pPr>
          </w:p>
          <w:p w14:paraId="5824ABEA" w14:textId="77777777" w:rsidR="000365CF" w:rsidRPr="00901999" w:rsidRDefault="000365CF" w:rsidP="000365CF">
            <w:pPr>
              <w:jc w:val="center"/>
            </w:pPr>
          </w:p>
          <w:p w14:paraId="7C727A8B" w14:textId="0D9793FC" w:rsidR="000365CF" w:rsidRPr="00901999" w:rsidRDefault="000365CF" w:rsidP="000365CF">
            <w:pPr>
              <w:jc w:val="center"/>
            </w:pPr>
            <w:r w:rsidRPr="00901999">
              <w:t>£0</w:t>
            </w:r>
          </w:p>
          <w:p w14:paraId="64804BD1" w14:textId="1E8718E8" w:rsidR="000365CF" w:rsidRPr="00901999" w:rsidRDefault="000365CF" w:rsidP="000365CF">
            <w:pPr>
              <w:jc w:val="center"/>
            </w:pPr>
          </w:p>
        </w:tc>
        <w:tc>
          <w:tcPr>
            <w:tcW w:w="1843" w:type="dxa"/>
          </w:tcPr>
          <w:p w14:paraId="77599E0E" w14:textId="48CAA5C7" w:rsidR="000365CF" w:rsidRPr="00901999" w:rsidRDefault="000365CF" w:rsidP="000365CF">
            <w:pPr>
              <w:jc w:val="center"/>
            </w:pPr>
          </w:p>
          <w:p w14:paraId="39EF3FB3" w14:textId="2124EC60" w:rsidR="002B584A" w:rsidRPr="00901999" w:rsidRDefault="002B584A" w:rsidP="003300E3">
            <w:pPr>
              <w:jc w:val="center"/>
            </w:pPr>
          </w:p>
          <w:p w14:paraId="28E96CCA" w14:textId="48CB4A53" w:rsidR="000365CF" w:rsidRPr="00901999" w:rsidRDefault="005661E2" w:rsidP="000365CF">
            <w:pPr>
              <w:jc w:val="center"/>
            </w:pPr>
            <w:r w:rsidRPr="00901999">
              <w:t>£9,392.40</w:t>
            </w:r>
          </w:p>
        </w:tc>
        <w:tc>
          <w:tcPr>
            <w:tcW w:w="1843" w:type="dxa"/>
          </w:tcPr>
          <w:p w14:paraId="525303A0" w14:textId="21469B43" w:rsidR="000365CF" w:rsidRPr="00E7249D" w:rsidRDefault="000365CF" w:rsidP="000365CF">
            <w:pPr>
              <w:jc w:val="center"/>
            </w:pPr>
          </w:p>
          <w:p w14:paraId="4F63CE54" w14:textId="77777777" w:rsidR="000365CF" w:rsidRPr="00E7249D" w:rsidRDefault="000365CF" w:rsidP="000365CF">
            <w:pPr>
              <w:jc w:val="center"/>
            </w:pPr>
          </w:p>
          <w:p w14:paraId="210E1D0C" w14:textId="60044F77" w:rsidR="000365CF" w:rsidRPr="007A00F7" w:rsidRDefault="00C8251F" w:rsidP="000365CF">
            <w:pPr>
              <w:jc w:val="center"/>
            </w:pPr>
            <w:r w:rsidRPr="000746EB">
              <w:t>£</w:t>
            </w:r>
            <w:r w:rsidR="000746EB" w:rsidRPr="000746EB">
              <w:t xml:space="preserve"> 50,000</w:t>
            </w:r>
          </w:p>
          <w:p w14:paraId="1DFF4F63" w14:textId="0E79D1F8" w:rsidR="000746EB" w:rsidRPr="00E7249D" w:rsidRDefault="000746EB" w:rsidP="000365CF">
            <w:pPr>
              <w:jc w:val="center"/>
            </w:pPr>
          </w:p>
        </w:tc>
        <w:tc>
          <w:tcPr>
            <w:tcW w:w="1843" w:type="dxa"/>
          </w:tcPr>
          <w:p w14:paraId="4595F0A4" w14:textId="2CBF1642" w:rsidR="000365CF" w:rsidRPr="00E7249D" w:rsidRDefault="000365CF" w:rsidP="000365CF">
            <w:pPr>
              <w:jc w:val="center"/>
            </w:pPr>
          </w:p>
          <w:p w14:paraId="0AE48922" w14:textId="56ECE72A" w:rsidR="000365CF" w:rsidRPr="00E7249D" w:rsidRDefault="000365CF" w:rsidP="005A7055">
            <w:pPr>
              <w:rPr>
                <w:highlight w:val="yellow"/>
              </w:rPr>
            </w:pPr>
          </w:p>
          <w:p w14:paraId="66953FCF" w14:textId="472AB995" w:rsidR="000365CF" w:rsidRPr="00E7249D" w:rsidRDefault="0039657D" w:rsidP="007A00F7">
            <w:r>
              <w:t xml:space="preserve">   </w:t>
            </w:r>
            <w:r w:rsidR="005A7055" w:rsidRPr="007A00F7">
              <w:t>£6,986.95</w:t>
            </w:r>
          </w:p>
        </w:tc>
      </w:tr>
      <w:tr w:rsidR="000365CF" w:rsidRPr="00D134E1" w14:paraId="15127C75" w14:textId="77777777" w:rsidTr="007A00F7">
        <w:trPr>
          <w:cantSplit/>
          <w:trHeight w:val="85"/>
        </w:trPr>
        <w:tc>
          <w:tcPr>
            <w:tcW w:w="2122" w:type="dxa"/>
          </w:tcPr>
          <w:p w14:paraId="4C491918" w14:textId="77777777" w:rsidR="000365CF" w:rsidRPr="00FE24B9" w:rsidRDefault="000365CF" w:rsidP="2934EBA0">
            <w:pPr>
              <w:shd w:val="clear" w:color="auto" w:fill="FFFFFF" w:themeFill="background1"/>
              <w:spacing w:after="75"/>
              <w:rPr>
                <w:b/>
              </w:rPr>
            </w:pPr>
          </w:p>
          <w:p w14:paraId="4F8F929E" w14:textId="63EB7D8F" w:rsidR="000365CF" w:rsidRPr="00F20A58" w:rsidRDefault="000365CF" w:rsidP="2934EBA0">
            <w:pPr>
              <w:shd w:val="clear" w:color="auto" w:fill="FFFFFF" w:themeFill="background1"/>
              <w:spacing w:after="75"/>
              <w:rPr>
                <w:b/>
                <w:bCs/>
              </w:rPr>
            </w:pPr>
            <w:r w:rsidRPr="00F20A58">
              <w:rPr>
                <w:b/>
                <w:bCs/>
              </w:rPr>
              <w:t>Transport</w:t>
            </w:r>
          </w:p>
        </w:tc>
        <w:tc>
          <w:tcPr>
            <w:tcW w:w="1842" w:type="dxa"/>
          </w:tcPr>
          <w:p w14:paraId="0DAB1705" w14:textId="77777777" w:rsidR="000365CF" w:rsidRPr="00901999" w:rsidRDefault="000365CF" w:rsidP="000365CF">
            <w:pPr>
              <w:jc w:val="center"/>
            </w:pPr>
          </w:p>
          <w:p w14:paraId="51F88B8B" w14:textId="4C175253" w:rsidR="000365CF" w:rsidRPr="00901999" w:rsidRDefault="007D3461" w:rsidP="000365CF">
            <w:pPr>
              <w:jc w:val="center"/>
            </w:pPr>
            <w:r w:rsidRPr="00901999">
              <w:t>£</w:t>
            </w:r>
            <w:r w:rsidR="007B2D03" w:rsidRPr="00901999">
              <w:t>0</w:t>
            </w:r>
          </w:p>
        </w:tc>
        <w:tc>
          <w:tcPr>
            <w:tcW w:w="1843" w:type="dxa"/>
          </w:tcPr>
          <w:p w14:paraId="786F0265" w14:textId="3EEE5E6C" w:rsidR="000365CF" w:rsidRPr="00901999" w:rsidRDefault="000365CF" w:rsidP="000365CF">
            <w:pPr>
              <w:jc w:val="center"/>
            </w:pPr>
          </w:p>
          <w:p w14:paraId="470E2CA9" w14:textId="07712F54" w:rsidR="000365CF" w:rsidRPr="00901999" w:rsidRDefault="000365CF" w:rsidP="000365CF">
            <w:pPr>
              <w:jc w:val="center"/>
            </w:pPr>
            <w:r w:rsidRPr="00901999">
              <w:t>£</w:t>
            </w:r>
            <w:r w:rsidR="003E33C7" w:rsidRPr="00901999">
              <w:t>0</w:t>
            </w:r>
          </w:p>
        </w:tc>
        <w:tc>
          <w:tcPr>
            <w:tcW w:w="1843" w:type="dxa"/>
          </w:tcPr>
          <w:p w14:paraId="68D27087" w14:textId="59A92C3A" w:rsidR="000365CF" w:rsidRPr="00901999" w:rsidRDefault="000365CF" w:rsidP="000365CF">
            <w:pPr>
              <w:jc w:val="center"/>
            </w:pPr>
          </w:p>
          <w:p w14:paraId="05D42F15" w14:textId="5D686148" w:rsidR="000365CF" w:rsidRPr="0039657D" w:rsidRDefault="0039657D" w:rsidP="000365CF">
            <w:pPr>
              <w:jc w:val="center"/>
            </w:pPr>
            <w:r>
              <w:t>£0</w:t>
            </w:r>
          </w:p>
        </w:tc>
        <w:tc>
          <w:tcPr>
            <w:tcW w:w="1843" w:type="dxa"/>
          </w:tcPr>
          <w:p w14:paraId="7C4B3DCC" w14:textId="4324D1F2" w:rsidR="000365CF" w:rsidRPr="007A00F7" w:rsidRDefault="000365CF" w:rsidP="000365CF">
            <w:pPr>
              <w:jc w:val="center"/>
              <w:rPr>
                <w:highlight w:val="yellow"/>
              </w:rPr>
            </w:pPr>
          </w:p>
          <w:p w14:paraId="381EEA62" w14:textId="5A818CE1" w:rsidR="000365CF" w:rsidRPr="007A00F7" w:rsidRDefault="00B36F5B" w:rsidP="00901999">
            <w:pPr>
              <w:jc w:val="center"/>
              <w:rPr>
                <w:highlight w:val="yellow"/>
              </w:rPr>
            </w:pPr>
            <w:r w:rsidRPr="007A00F7">
              <w:t xml:space="preserve">£ </w:t>
            </w:r>
            <w:r w:rsidR="0039657D">
              <w:t>1</w:t>
            </w:r>
            <w:r w:rsidRPr="007A00F7">
              <w:t>78,023.47</w:t>
            </w:r>
          </w:p>
        </w:tc>
      </w:tr>
      <w:tr w:rsidR="00404327" w:rsidRPr="0024391E" w14:paraId="7847CCB3" w14:textId="77777777" w:rsidTr="007A00F7">
        <w:trPr>
          <w:cantSplit/>
          <w:trHeight w:val="502"/>
        </w:trPr>
        <w:tc>
          <w:tcPr>
            <w:tcW w:w="2122" w:type="dxa"/>
          </w:tcPr>
          <w:p w14:paraId="53546343" w14:textId="77777777" w:rsidR="00404327" w:rsidRPr="00F20A58" w:rsidRDefault="00404327" w:rsidP="00404327">
            <w:pPr>
              <w:jc w:val="center"/>
              <w:rPr>
                <w:b/>
                <w:bCs/>
              </w:rPr>
            </w:pPr>
            <w:bookmarkStart w:id="45" w:name="_Hlk94713466"/>
          </w:p>
          <w:p w14:paraId="54DFD30D" w14:textId="60F838C9" w:rsidR="00404327" w:rsidRPr="0024391E" w:rsidRDefault="00404327" w:rsidP="00A5341D">
            <w:pPr>
              <w:rPr>
                <w:b/>
                <w:bCs/>
              </w:rPr>
            </w:pPr>
            <w:r w:rsidRPr="0024391E">
              <w:rPr>
                <w:b/>
                <w:bCs/>
              </w:rPr>
              <w:t>TOTALS</w:t>
            </w:r>
          </w:p>
        </w:tc>
        <w:tc>
          <w:tcPr>
            <w:tcW w:w="1842" w:type="dxa"/>
          </w:tcPr>
          <w:p w14:paraId="36242CC8" w14:textId="77777777" w:rsidR="00404327" w:rsidRPr="00D06EEE" w:rsidRDefault="00404327" w:rsidP="00404327">
            <w:pPr>
              <w:rPr>
                <w:b/>
                <w:bCs/>
              </w:rPr>
            </w:pPr>
          </w:p>
          <w:p w14:paraId="62B19B66" w14:textId="37FCC78E" w:rsidR="00404327" w:rsidRPr="00AE15EC" w:rsidRDefault="00E4384E" w:rsidP="00FD69B0">
            <w:pPr>
              <w:jc w:val="center"/>
              <w:rPr>
                <w:b/>
                <w:bCs/>
              </w:rPr>
            </w:pPr>
            <w:r w:rsidRPr="00AE15EC">
              <w:rPr>
                <w:b/>
                <w:bCs/>
              </w:rPr>
              <w:t>£1,476,820.67</w:t>
            </w:r>
          </w:p>
          <w:p w14:paraId="29B076B6" w14:textId="3F92FC40" w:rsidR="0028617A" w:rsidRPr="007A00F7" w:rsidRDefault="0028617A" w:rsidP="00FD69B0">
            <w:pPr>
              <w:jc w:val="center"/>
              <w:rPr>
                <w:b/>
              </w:rPr>
            </w:pPr>
          </w:p>
        </w:tc>
        <w:tc>
          <w:tcPr>
            <w:tcW w:w="1843" w:type="dxa"/>
          </w:tcPr>
          <w:p w14:paraId="6CF3E3B5" w14:textId="3943C4F5" w:rsidR="00404327" w:rsidRPr="00D06EEE" w:rsidRDefault="00404327" w:rsidP="00404327">
            <w:pPr>
              <w:rPr>
                <w:b/>
                <w:bCs/>
              </w:rPr>
            </w:pPr>
          </w:p>
          <w:p w14:paraId="71C6E78D" w14:textId="158A1ABD" w:rsidR="00404327" w:rsidRPr="00D06EEE" w:rsidRDefault="00F17D2C" w:rsidP="00FD69B0">
            <w:pPr>
              <w:jc w:val="center"/>
              <w:rPr>
                <w:b/>
              </w:rPr>
            </w:pPr>
            <w:r w:rsidRPr="00D06EEE">
              <w:rPr>
                <w:b/>
                <w:bCs/>
              </w:rPr>
              <w:t>£</w:t>
            </w:r>
            <w:r w:rsidR="00C72EAE" w:rsidRPr="00D06EEE">
              <w:rPr>
                <w:b/>
                <w:bCs/>
              </w:rPr>
              <w:t>3,</w:t>
            </w:r>
            <w:r w:rsidR="00962824" w:rsidRPr="00D06EEE">
              <w:rPr>
                <w:b/>
                <w:bCs/>
              </w:rPr>
              <w:t>519</w:t>
            </w:r>
            <w:r w:rsidR="00C72EAE" w:rsidRPr="00D06EEE">
              <w:rPr>
                <w:b/>
                <w:bCs/>
              </w:rPr>
              <w:t>,</w:t>
            </w:r>
            <w:r w:rsidR="00962824" w:rsidRPr="00D06EEE">
              <w:rPr>
                <w:b/>
                <w:bCs/>
              </w:rPr>
              <w:t>178</w:t>
            </w:r>
            <w:r w:rsidR="00C72EAE" w:rsidRPr="00D06EEE">
              <w:rPr>
                <w:b/>
                <w:bCs/>
              </w:rPr>
              <w:t>.92</w:t>
            </w:r>
          </w:p>
        </w:tc>
        <w:tc>
          <w:tcPr>
            <w:tcW w:w="1843" w:type="dxa"/>
          </w:tcPr>
          <w:p w14:paraId="3FBC2AB9" w14:textId="0BC9B2DD" w:rsidR="00404327" w:rsidRPr="00D06EEE" w:rsidRDefault="00404327" w:rsidP="00404327">
            <w:pPr>
              <w:rPr>
                <w:b/>
                <w:bCs/>
              </w:rPr>
            </w:pPr>
          </w:p>
          <w:p w14:paraId="599A284F" w14:textId="6E30743D" w:rsidR="00AD14BB" w:rsidRDefault="00C03403" w:rsidP="00FD69B0">
            <w:pPr>
              <w:rPr>
                <w:b/>
                <w:bCs/>
              </w:rPr>
            </w:pPr>
            <w:r w:rsidRPr="00D06EEE">
              <w:rPr>
                <w:b/>
                <w:bCs/>
              </w:rPr>
              <w:t>£1,</w:t>
            </w:r>
            <w:r w:rsidR="00B71FB2" w:rsidRPr="00D06EEE">
              <w:rPr>
                <w:b/>
                <w:bCs/>
              </w:rPr>
              <w:t>979,913.37</w:t>
            </w:r>
          </w:p>
          <w:p w14:paraId="76ADF857" w14:textId="79B6F768" w:rsidR="00FD69B0" w:rsidRPr="007A00F7" w:rsidRDefault="00FD69B0" w:rsidP="00FD69B0">
            <w:pPr>
              <w:rPr>
                <w:b/>
                <w:bCs/>
              </w:rPr>
            </w:pPr>
            <w:r>
              <w:rPr>
                <w:b/>
                <w:bCs/>
              </w:rPr>
              <w:t>*</w:t>
            </w:r>
            <w:r w:rsidRPr="00EF2CD0">
              <w:rPr>
                <w:b/>
                <w:bCs/>
                <w:sz w:val="16"/>
                <w:szCs w:val="16"/>
              </w:rPr>
              <w:t>3</w:t>
            </w:r>
          </w:p>
        </w:tc>
        <w:tc>
          <w:tcPr>
            <w:tcW w:w="1843" w:type="dxa"/>
          </w:tcPr>
          <w:p w14:paraId="44D2E9E8" w14:textId="77777777" w:rsidR="00404327" w:rsidRPr="007A00F7" w:rsidRDefault="00404327" w:rsidP="00404327">
            <w:pPr>
              <w:rPr>
                <w:b/>
                <w:bCs/>
                <w:highlight w:val="yellow"/>
              </w:rPr>
            </w:pPr>
          </w:p>
          <w:p w14:paraId="0B1D2602" w14:textId="0D643531" w:rsidR="00A5341D" w:rsidRPr="007A00F7" w:rsidRDefault="00E7249D" w:rsidP="00FD69B0">
            <w:pPr>
              <w:jc w:val="center"/>
              <w:rPr>
                <w:highlight w:val="yellow"/>
              </w:rPr>
            </w:pPr>
            <w:r w:rsidRPr="007A00F7">
              <w:rPr>
                <w:b/>
                <w:bCs/>
              </w:rPr>
              <w:t>£3,</w:t>
            </w:r>
            <w:r w:rsidR="00296972" w:rsidRPr="00911320">
              <w:rPr>
                <w:b/>
                <w:bCs/>
              </w:rPr>
              <w:t>207,621.68</w:t>
            </w:r>
          </w:p>
        </w:tc>
      </w:tr>
    </w:tbl>
    <w:bookmarkEnd w:id="42"/>
    <w:bookmarkEnd w:id="43"/>
    <w:bookmarkEnd w:id="45"/>
    <w:p w14:paraId="2BD888EA" w14:textId="0CB44CBA" w:rsidR="00A955F4" w:rsidRPr="00EF2CD0" w:rsidRDefault="00B0361A" w:rsidP="00A955F4">
      <w:pPr>
        <w:tabs>
          <w:tab w:val="left" w:pos="12450"/>
        </w:tabs>
        <w:spacing w:after="0"/>
      </w:pPr>
      <w:r w:rsidRPr="00EF2CD0">
        <w:t xml:space="preserve">*1 </w:t>
      </w:r>
      <w:r w:rsidR="00A53CF8" w:rsidRPr="00EF2CD0">
        <w:t xml:space="preserve">Entered into figures do not </w:t>
      </w:r>
      <w:r w:rsidR="00DF3DAE" w:rsidRPr="00EF2CD0">
        <w:t>take account of indexation (inflation / deflation) that may be applied when the monies are due</w:t>
      </w:r>
    </w:p>
    <w:p w14:paraId="14D8969B" w14:textId="41134F27" w:rsidR="00381720" w:rsidRPr="00EF2CD0" w:rsidRDefault="00C42A79" w:rsidP="00643F7A">
      <w:pPr>
        <w:tabs>
          <w:tab w:val="left" w:pos="12450"/>
        </w:tabs>
        <w:spacing w:after="0"/>
      </w:pPr>
      <w:r w:rsidRPr="00EF2CD0">
        <w:t>*</w:t>
      </w:r>
      <w:r w:rsidR="00381720" w:rsidRPr="00EF2CD0">
        <w:t>2</w:t>
      </w:r>
      <w:r w:rsidRPr="00EF2CD0">
        <w:t xml:space="preserve"> </w:t>
      </w:r>
      <w:r w:rsidR="00381720" w:rsidRPr="00EF2CD0">
        <w:t>Open space spending includes £</w:t>
      </w:r>
      <w:r w:rsidR="00525580" w:rsidRPr="00EF2CD0">
        <w:t>153,097.09</w:t>
      </w:r>
      <w:r w:rsidR="00381720" w:rsidRPr="00EF2CD0">
        <w:t xml:space="preserve">on maintenance and supervision </w:t>
      </w:r>
    </w:p>
    <w:p w14:paraId="430B986A" w14:textId="6BB70556" w:rsidR="00C42A79" w:rsidRPr="00EF2CD0" w:rsidRDefault="00127553" w:rsidP="00643F7A">
      <w:pPr>
        <w:tabs>
          <w:tab w:val="left" w:pos="12450"/>
        </w:tabs>
        <w:spacing w:after="0"/>
      </w:pPr>
      <w:r w:rsidRPr="00EF2CD0">
        <w:t>*3</w:t>
      </w:r>
      <w:r w:rsidR="00935ABF" w:rsidRPr="00EF2CD0">
        <w:t xml:space="preserve"> </w:t>
      </w:r>
      <w:r w:rsidR="002F26F3" w:rsidRPr="00EF2CD0">
        <w:t xml:space="preserve">£566,861.53 </w:t>
      </w:r>
      <w:r w:rsidR="00964687" w:rsidRPr="00EF2CD0">
        <w:t xml:space="preserve">out of </w:t>
      </w:r>
      <w:r w:rsidR="004660B6" w:rsidRPr="00EF2CD0">
        <w:t xml:space="preserve"> £1,979,913.37</w:t>
      </w:r>
      <w:r w:rsidR="004872F5" w:rsidRPr="00EF2CD0">
        <w:t xml:space="preserve"> </w:t>
      </w:r>
      <w:r w:rsidR="00381720" w:rsidRPr="00EF2CD0">
        <w:t>allocated in 20</w:t>
      </w:r>
      <w:r w:rsidR="00F80CBF" w:rsidRPr="00EF2CD0">
        <w:t>23/24</w:t>
      </w:r>
      <w:r w:rsidR="00381720" w:rsidRPr="00EF2CD0">
        <w:t xml:space="preserve"> was also spent in 20</w:t>
      </w:r>
      <w:r w:rsidR="00F80CBF" w:rsidRPr="00EF2CD0">
        <w:t>23/24</w:t>
      </w:r>
    </w:p>
    <w:p w14:paraId="787F2F35" w14:textId="67549A25" w:rsidR="007727E9" w:rsidRPr="00FE24B9" w:rsidRDefault="007727E9" w:rsidP="00643F7A">
      <w:pPr>
        <w:tabs>
          <w:tab w:val="left" w:pos="12450"/>
        </w:tabs>
        <w:spacing w:after="0"/>
      </w:pPr>
      <w:r w:rsidRPr="00EF2CD0">
        <w:t xml:space="preserve">*4 £ </w:t>
      </w:r>
      <w:r w:rsidR="003F4C39" w:rsidRPr="00EF2CD0">
        <w:t>£</w:t>
      </w:r>
      <w:r w:rsidR="00493108" w:rsidRPr="00EF2CD0">
        <w:t>337,234.89</w:t>
      </w:r>
      <w:r w:rsidRPr="00EF2CD0">
        <w:t xml:space="preserve"> transferred to Fareham Borough Council for </w:t>
      </w:r>
      <w:r w:rsidR="00D279DC" w:rsidRPr="00EF2CD0">
        <w:t>spending on SRMP projects</w:t>
      </w:r>
    </w:p>
    <w:p w14:paraId="5F340C8D" w14:textId="77777777" w:rsidR="00B71D8D" w:rsidRPr="00B71D8D" w:rsidRDefault="00B71D8D" w:rsidP="00242867">
      <w:pPr>
        <w:ind w:hanging="709"/>
      </w:pPr>
      <w:bookmarkStart w:id="46" w:name="_Hlk94259629"/>
      <w:bookmarkStart w:id="47" w:name="_Hlk89267026"/>
      <w:bookmarkStart w:id="48" w:name="_Hlk58428984"/>
    </w:p>
    <w:p w14:paraId="370F4630" w14:textId="6936CAAD" w:rsidR="00900ABB" w:rsidRPr="00B71D8D" w:rsidRDefault="00726AC3" w:rsidP="00FD69B0">
      <w:pPr>
        <w:rPr>
          <w:rFonts w:ascii="Calibri" w:hAnsi="Calibri" w:cs="Calibri"/>
          <w:color w:val="auto"/>
        </w:rPr>
      </w:pPr>
      <w:r w:rsidRPr="00B71D8D">
        <w:t>At the end of 20</w:t>
      </w:r>
      <w:r w:rsidR="00F80CBF">
        <w:t>23/24</w:t>
      </w:r>
      <w:r w:rsidRPr="00B71D8D">
        <w:t xml:space="preserve"> Eastleigh Borough Council </w:t>
      </w:r>
      <w:r w:rsidRPr="00B23A57">
        <w:t>held</w:t>
      </w:r>
      <w:r w:rsidR="00263092" w:rsidRPr="00B23A57">
        <w:rPr>
          <w:b/>
          <w:bCs/>
        </w:rPr>
        <w:t xml:space="preserve"> £17</w:t>
      </w:r>
      <w:r w:rsidR="00263092" w:rsidRPr="20273B82">
        <w:rPr>
          <w:b/>
          <w:bCs/>
        </w:rPr>
        <w:t>.515</w:t>
      </w:r>
      <w:r w:rsidR="0076252C" w:rsidRPr="20273B82">
        <w:rPr>
          <w:b/>
          <w:bCs/>
        </w:rPr>
        <w:t xml:space="preserve"> million</w:t>
      </w:r>
      <w:r w:rsidRPr="00B71D8D">
        <w:rPr>
          <w:b/>
          <w:bCs/>
        </w:rPr>
        <w:t xml:space="preserve"> </w:t>
      </w:r>
      <w:r w:rsidRPr="00B71D8D">
        <w:t>of S106 co</w:t>
      </w:r>
      <w:r w:rsidRPr="000856FB">
        <w:t>ntributions received in 20</w:t>
      </w:r>
      <w:r w:rsidR="00F80CBF">
        <w:t>23/24</w:t>
      </w:r>
      <w:r w:rsidRPr="000856FB">
        <w:t xml:space="preserve"> and previous years but not yet spent or transferred</w:t>
      </w:r>
      <w:r w:rsidRPr="00343F01">
        <w:t xml:space="preserve"> to other organisations.</w:t>
      </w:r>
      <w:r w:rsidR="005B61D7">
        <w:t xml:space="preserve"> </w:t>
      </w:r>
      <w:bookmarkEnd w:id="46"/>
      <w:r w:rsidRPr="00343F01">
        <w:t xml:space="preserve">These monies have either been formally approved for future spend, allocated for future projects, but may be waiting for additional funding to be received, or consultation to be concluded before being formally approved or transferred, or may have been received and are awaiting allocation to specific projects in line with the Council’s Corporate Objectives and the needs of the </w:t>
      </w:r>
      <w:r w:rsidR="003E6ED7" w:rsidRPr="00343F01">
        <w:t>c</w:t>
      </w:r>
      <w:r w:rsidRPr="00343F01">
        <w:t xml:space="preserve">ommunity.  </w:t>
      </w:r>
      <w:bookmarkStart w:id="49" w:name="_Hlk62118627"/>
      <w:r w:rsidRPr="00343F01">
        <w:t xml:space="preserve">In addition, the </w:t>
      </w:r>
      <w:r w:rsidRPr="009748EE">
        <w:t>Council held</w:t>
      </w:r>
      <w:r w:rsidRPr="00F20A58">
        <w:t xml:space="preserve"> </w:t>
      </w:r>
      <w:r w:rsidR="006E0DA0">
        <w:t xml:space="preserve">£ </w:t>
      </w:r>
      <w:r w:rsidR="00795AB5">
        <w:t xml:space="preserve">1.788 million </w:t>
      </w:r>
      <w:r w:rsidRPr="009A3C9C">
        <w:t>of S106</w:t>
      </w:r>
      <w:r w:rsidRPr="007A079F">
        <w:t xml:space="preserve"> contributions for affordable housing which is ringfenced to be spent on affordable </w:t>
      </w:r>
      <w:bookmarkEnd w:id="47"/>
      <w:r w:rsidRPr="007A079F">
        <w:t>housing provision, which will be used to meet affordable targets within the Council’s ongoing Housing Programme.</w:t>
      </w:r>
      <w:bookmarkEnd w:id="49"/>
      <w:r w:rsidR="000C5CDB">
        <w:t xml:space="preserve"> This figure </w:t>
      </w:r>
      <w:r w:rsidR="00900ABB">
        <w:t xml:space="preserve">is down from </w:t>
      </w:r>
      <w:r w:rsidR="00880EB9">
        <w:t>£</w:t>
      </w:r>
      <w:r w:rsidR="005862FE">
        <w:t>1</w:t>
      </w:r>
      <w:r w:rsidR="00795AB5">
        <w:t>.981</w:t>
      </w:r>
      <w:r w:rsidR="00880EB9">
        <w:t xml:space="preserve">million in </w:t>
      </w:r>
      <w:r w:rsidR="004C0090">
        <w:t xml:space="preserve">2022/23 </w:t>
      </w:r>
      <w:r w:rsidR="00880EB9">
        <w:t xml:space="preserve">due to spending on </w:t>
      </w:r>
      <w:r w:rsidR="008A273A">
        <w:t>town centre sites the Council is working on</w:t>
      </w:r>
      <w:r w:rsidR="6A3B9A54">
        <w:t>.</w:t>
      </w:r>
      <w:r w:rsidR="008A273A">
        <w:t xml:space="preserve"> </w:t>
      </w:r>
    </w:p>
    <w:p w14:paraId="75AFBD91" w14:textId="60046B0A" w:rsidR="006569D8" w:rsidRDefault="006569D8" w:rsidP="00242867">
      <w:pPr>
        <w:pStyle w:val="ListParagraph"/>
        <w:tabs>
          <w:tab w:val="left" w:pos="10348"/>
        </w:tabs>
        <w:ind w:left="0"/>
      </w:pPr>
    </w:p>
    <w:p w14:paraId="33FFA52B" w14:textId="31A4541E" w:rsidR="008038F9" w:rsidRPr="00F513EF" w:rsidRDefault="008038F9" w:rsidP="00F20A58">
      <w:pPr>
        <w:pStyle w:val="ListParagraph"/>
        <w:tabs>
          <w:tab w:val="left" w:pos="10348"/>
        </w:tabs>
        <w:ind w:left="0"/>
        <w:rPr>
          <w:b/>
        </w:rPr>
      </w:pPr>
      <w:r w:rsidRPr="2934EBA0">
        <w:rPr>
          <w:b/>
        </w:rPr>
        <w:t>Forward Funding</w:t>
      </w:r>
      <w:r w:rsidR="00385D34" w:rsidRPr="2934EBA0">
        <w:rPr>
          <w:b/>
        </w:rPr>
        <w:t xml:space="preserve"> for Infrastructure Delivery </w:t>
      </w:r>
    </w:p>
    <w:p w14:paraId="2A396DF3" w14:textId="77777777" w:rsidR="008038F9" w:rsidRPr="007A079F" w:rsidRDefault="008038F9" w:rsidP="00F20A58">
      <w:pPr>
        <w:pStyle w:val="ListParagraph"/>
        <w:tabs>
          <w:tab w:val="left" w:pos="10348"/>
        </w:tabs>
        <w:ind w:left="0"/>
      </w:pPr>
    </w:p>
    <w:p w14:paraId="4F114072" w14:textId="4FDD0D90" w:rsidR="00760F25" w:rsidRDefault="00F520EF" w:rsidP="007A00F7">
      <w:pPr>
        <w:pStyle w:val="ListParagraph"/>
        <w:numPr>
          <w:ilvl w:val="0"/>
          <w:numId w:val="52"/>
        </w:numPr>
        <w:tabs>
          <w:tab w:val="left" w:pos="10348"/>
        </w:tabs>
        <w:ind w:hanging="720"/>
      </w:pPr>
      <w:r w:rsidRPr="007A079F">
        <w:t xml:space="preserve">In addition to the figures provided in Table 3 and in order to ensure ‘infrastructure first’ the Council </w:t>
      </w:r>
      <w:r w:rsidR="003F71D7">
        <w:t>takes a proactive approach to</w:t>
      </w:r>
      <w:r w:rsidRPr="007A079F">
        <w:t xml:space="preserve"> allocat</w:t>
      </w:r>
      <w:r w:rsidR="003F71D7">
        <w:t>ing</w:t>
      </w:r>
      <w:r w:rsidRPr="007A079F">
        <w:t xml:space="preserve"> and in some instances spend</w:t>
      </w:r>
      <w:r w:rsidR="003F71D7">
        <w:t>ing</w:t>
      </w:r>
      <w:r w:rsidRPr="007A079F">
        <w:t xml:space="preserve"> future receipts before they ha</w:t>
      </w:r>
      <w:r w:rsidR="007A079F" w:rsidRPr="007A079F">
        <w:t>ve</w:t>
      </w:r>
      <w:r w:rsidRPr="007A079F">
        <w:t xml:space="preserve"> been received in the form of a developer contribution. This helps to ensure the necessary infrastructure is delivered to the residents who need it most, when it is most needed. </w:t>
      </w:r>
      <w:r w:rsidR="00DF4F78">
        <w:t xml:space="preserve">Further information on </w:t>
      </w:r>
      <w:r w:rsidR="00DE0A43">
        <w:t>infrastructure</w:t>
      </w:r>
      <w:r w:rsidR="00DF4F78">
        <w:t xml:space="preserve"> </w:t>
      </w:r>
      <w:r w:rsidR="00911F5A">
        <w:t xml:space="preserve">provision </w:t>
      </w:r>
      <w:r w:rsidR="00DF4F78">
        <w:t xml:space="preserve">which </w:t>
      </w:r>
      <w:r w:rsidR="00357CC5">
        <w:t>h</w:t>
      </w:r>
      <w:r w:rsidR="00DE0A43">
        <w:t>as</w:t>
      </w:r>
      <w:r w:rsidR="00357CC5">
        <w:t xml:space="preserve"> been or </w:t>
      </w:r>
      <w:r w:rsidR="00DE0A43">
        <w:t>is</w:t>
      </w:r>
      <w:r w:rsidR="00DF4F78">
        <w:t xml:space="preserve"> proposed to be funded through this ‘</w:t>
      </w:r>
      <w:r w:rsidR="00BB3D3C">
        <w:t>I</w:t>
      </w:r>
      <w:r w:rsidR="00DF4F78">
        <w:t xml:space="preserve">nfrastructure First’ approach is provided in Section </w:t>
      </w:r>
      <w:r w:rsidR="006543A2">
        <w:t xml:space="preserve">4 </w:t>
      </w:r>
      <w:r w:rsidR="00911F5A">
        <w:t>with regards to the development of One Horton Heath.</w:t>
      </w:r>
    </w:p>
    <w:p w14:paraId="5F90A159" w14:textId="77777777" w:rsidR="00760F25" w:rsidRDefault="00760F25" w:rsidP="00760F25">
      <w:pPr>
        <w:pStyle w:val="ListParagraph"/>
        <w:tabs>
          <w:tab w:val="left" w:pos="10348"/>
        </w:tabs>
        <w:ind w:left="0"/>
      </w:pPr>
    </w:p>
    <w:p w14:paraId="37625480" w14:textId="2FE3C45A" w:rsidR="00C306CA" w:rsidRPr="007A079F" w:rsidRDefault="00801F79" w:rsidP="00E62441">
      <w:pPr>
        <w:pStyle w:val="Style2"/>
        <w:rPr>
          <w:sz w:val="24"/>
          <w:szCs w:val="24"/>
        </w:rPr>
      </w:pPr>
      <w:bookmarkStart w:id="50" w:name="_Toc61851462"/>
      <w:bookmarkStart w:id="51" w:name="_Toc62139451"/>
      <w:bookmarkStart w:id="52" w:name="_Toc179280792"/>
      <w:r w:rsidRPr="2934EBA0">
        <w:rPr>
          <w:sz w:val="24"/>
          <w:szCs w:val="24"/>
        </w:rPr>
        <w:t xml:space="preserve">Key Sites with </w:t>
      </w:r>
      <w:r w:rsidR="00D54FB0" w:rsidRPr="2934EBA0">
        <w:rPr>
          <w:sz w:val="24"/>
          <w:szCs w:val="24"/>
        </w:rPr>
        <w:t>Financial</w:t>
      </w:r>
      <w:r w:rsidR="00C306CA" w:rsidRPr="2934EBA0">
        <w:rPr>
          <w:sz w:val="24"/>
          <w:szCs w:val="24"/>
        </w:rPr>
        <w:t xml:space="preserve"> Contributions </w:t>
      </w:r>
      <w:r w:rsidR="009248CF" w:rsidRPr="2934EBA0">
        <w:rPr>
          <w:sz w:val="24"/>
          <w:szCs w:val="24"/>
        </w:rPr>
        <w:t xml:space="preserve">Entered </w:t>
      </w:r>
      <w:r w:rsidR="009E7A28" w:rsidRPr="2934EBA0">
        <w:rPr>
          <w:sz w:val="24"/>
          <w:szCs w:val="24"/>
        </w:rPr>
        <w:t>i</w:t>
      </w:r>
      <w:r w:rsidR="009248CF" w:rsidRPr="2934EBA0">
        <w:rPr>
          <w:sz w:val="24"/>
          <w:szCs w:val="24"/>
        </w:rPr>
        <w:t xml:space="preserve">nto </w:t>
      </w:r>
      <w:r w:rsidR="003766A3" w:rsidRPr="2934EBA0">
        <w:rPr>
          <w:sz w:val="24"/>
          <w:szCs w:val="24"/>
        </w:rPr>
        <w:t xml:space="preserve">in </w:t>
      </w:r>
      <w:r w:rsidR="00C306CA" w:rsidRPr="2934EBA0">
        <w:rPr>
          <w:sz w:val="24"/>
          <w:szCs w:val="24"/>
        </w:rPr>
        <w:t>20</w:t>
      </w:r>
      <w:bookmarkEnd w:id="50"/>
      <w:bookmarkEnd w:id="51"/>
      <w:r w:rsidR="00F80CBF" w:rsidRPr="2934EBA0">
        <w:rPr>
          <w:sz w:val="24"/>
          <w:szCs w:val="24"/>
        </w:rPr>
        <w:t>23/24</w:t>
      </w:r>
      <w:bookmarkEnd w:id="52"/>
    </w:p>
    <w:p w14:paraId="08F3CB91" w14:textId="6D2D735A" w:rsidR="00643F7A" w:rsidRPr="007A079F" w:rsidRDefault="00801F79" w:rsidP="007A00F7">
      <w:pPr>
        <w:pStyle w:val="ListParagraph"/>
        <w:numPr>
          <w:ilvl w:val="0"/>
          <w:numId w:val="52"/>
        </w:numPr>
        <w:spacing w:after="0"/>
        <w:ind w:hanging="720"/>
        <w:jc w:val="both"/>
      </w:pPr>
      <w:bookmarkStart w:id="53" w:name="_Hlk59118233"/>
      <w:bookmarkEnd w:id="48"/>
      <w:r>
        <w:t xml:space="preserve">Table 4 shows the top three </w:t>
      </w:r>
      <w:r w:rsidR="006F2093">
        <w:t xml:space="preserve">schemes </w:t>
      </w:r>
      <w:r w:rsidR="007A59DE">
        <w:t xml:space="preserve">funding key infrastructure and mitigation through S106 </w:t>
      </w:r>
      <w:r w:rsidR="003B1A3B" w:rsidRPr="007A079F">
        <w:t>entered into</w:t>
      </w:r>
      <w:r w:rsidR="006F72FB" w:rsidRPr="007A079F">
        <w:t xml:space="preserve"> between developers and the Council</w:t>
      </w:r>
      <w:r w:rsidR="00EA052C" w:rsidRPr="007A079F">
        <w:t xml:space="preserve"> in 20</w:t>
      </w:r>
      <w:r w:rsidR="00F80CBF">
        <w:t>23/24</w:t>
      </w:r>
      <w:r w:rsidR="00297394" w:rsidRPr="007A079F">
        <w:t>.</w:t>
      </w:r>
    </w:p>
    <w:p w14:paraId="69FBE5A1" w14:textId="77777777" w:rsidR="00425381" w:rsidRPr="00CC2D77" w:rsidRDefault="00425381" w:rsidP="00425381">
      <w:pPr>
        <w:spacing w:after="0"/>
        <w:jc w:val="both"/>
        <w:rPr>
          <w:highlight w:val="yellow"/>
        </w:rPr>
      </w:pPr>
    </w:p>
    <w:bookmarkEnd w:id="53"/>
    <w:p w14:paraId="0AAB3B9B" w14:textId="77777777" w:rsidR="00790B0A" w:rsidRDefault="00790B0A" w:rsidP="005E6074">
      <w:pPr>
        <w:autoSpaceDE w:val="0"/>
        <w:autoSpaceDN w:val="0"/>
        <w:adjustRightInd w:val="0"/>
        <w:spacing w:after="0" w:line="240" w:lineRule="auto"/>
      </w:pPr>
    </w:p>
    <w:p w14:paraId="3D55272A" w14:textId="1529553E" w:rsidR="00066893" w:rsidRDefault="00133000" w:rsidP="007A00F7">
      <w:pPr>
        <w:pStyle w:val="Style3"/>
      </w:pPr>
      <w:r w:rsidRPr="00133000">
        <w:t>Table 4</w:t>
      </w:r>
      <w:r w:rsidR="00D464EC">
        <w:t>:</w:t>
      </w:r>
      <w:r w:rsidRPr="00133000">
        <w:t xml:space="preserve"> </w:t>
      </w:r>
      <w:r w:rsidR="00066893" w:rsidRPr="00790B0A">
        <w:t xml:space="preserve">Top </w:t>
      </w:r>
      <w:r w:rsidR="00860089">
        <w:t>Three</w:t>
      </w:r>
      <w:r w:rsidR="00066893" w:rsidRPr="00790B0A">
        <w:t xml:space="preserve"> Developments in Terms of the Largest Financial Agreements Entered into and Secured with Developers for the Purpose of Funding Key Infrastructure Provision – 20</w:t>
      </w:r>
      <w:r w:rsidR="00F80CBF">
        <w:t>23/24</w:t>
      </w:r>
    </w:p>
    <w:tbl>
      <w:tblPr>
        <w:tblStyle w:val="TableGrid"/>
        <w:tblW w:w="0" w:type="auto"/>
        <w:tblLook w:val="04A0" w:firstRow="1" w:lastRow="0" w:firstColumn="1" w:lastColumn="0" w:noHBand="0" w:noVBand="1"/>
      </w:tblPr>
      <w:tblGrid>
        <w:gridCol w:w="9016"/>
      </w:tblGrid>
      <w:tr w:rsidR="00B13E20" w14:paraId="60F504C1" w14:textId="77777777" w:rsidTr="00B13E20">
        <w:tc>
          <w:tcPr>
            <w:tcW w:w="9016" w:type="dxa"/>
          </w:tcPr>
          <w:p w14:paraId="7D9FC6D2" w14:textId="77777777" w:rsidR="00B13E20" w:rsidRDefault="0058305B" w:rsidP="00066893">
            <w:pPr>
              <w:autoSpaceDE w:val="0"/>
              <w:autoSpaceDN w:val="0"/>
              <w:adjustRightInd w:val="0"/>
              <w:rPr>
                <w:b/>
                <w:bCs/>
              </w:rPr>
            </w:pPr>
            <w:r w:rsidRPr="0058305B">
              <w:rPr>
                <w:b/>
                <w:bCs/>
              </w:rPr>
              <w:t>F/22/92939</w:t>
            </w:r>
            <w:r w:rsidR="00242280">
              <w:rPr>
                <w:b/>
                <w:bCs/>
              </w:rPr>
              <w:t xml:space="preserve">: </w:t>
            </w:r>
            <w:r w:rsidR="00265603">
              <w:rPr>
                <w:b/>
                <w:bCs/>
              </w:rPr>
              <w:t xml:space="preserve">Regal Buildings, Market Street, Eastleigh, SO50 </w:t>
            </w:r>
            <w:r w:rsidR="00B95872">
              <w:rPr>
                <w:b/>
                <w:bCs/>
              </w:rPr>
              <w:t>5RL</w:t>
            </w:r>
          </w:p>
          <w:p w14:paraId="5ABB80DB" w14:textId="77777777" w:rsidR="004F7754" w:rsidRDefault="00BE3999" w:rsidP="00066893">
            <w:pPr>
              <w:autoSpaceDE w:val="0"/>
              <w:autoSpaceDN w:val="0"/>
              <w:adjustRightInd w:val="0"/>
              <w:rPr>
                <w:i/>
                <w:iCs/>
              </w:rPr>
            </w:pPr>
            <w:r w:rsidRPr="00BE3999">
              <w:rPr>
                <w:i/>
                <w:iCs/>
              </w:rPr>
              <w:t>Conversion of former nightclub to form 4no. commercial units at ground floor and 11no. one-bedroom, 5no. two-bedroom and 2no. three-bedroom residential flats above with associated external works</w:t>
            </w:r>
            <w:r>
              <w:rPr>
                <w:i/>
                <w:iCs/>
              </w:rPr>
              <w:t>.</w:t>
            </w:r>
          </w:p>
          <w:p w14:paraId="0FC2CE94" w14:textId="77777777" w:rsidR="00115AC6" w:rsidRDefault="00115AC6" w:rsidP="00066893">
            <w:pPr>
              <w:autoSpaceDE w:val="0"/>
              <w:autoSpaceDN w:val="0"/>
              <w:adjustRightInd w:val="0"/>
              <w:rPr>
                <w:i/>
                <w:iCs/>
              </w:rPr>
            </w:pPr>
          </w:p>
          <w:p w14:paraId="502DCD73" w14:textId="3DCDC539" w:rsidR="00374194" w:rsidRDefault="007F2806">
            <w:pPr>
              <w:pStyle w:val="ListParagraph"/>
              <w:numPr>
                <w:ilvl w:val="0"/>
                <w:numId w:val="68"/>
              </w:numPr>
              <w:autoSpaceDE w:val="0"/>
              <w:autoSpaceDN w:val="0"/>
              <w:adjustRightInd w:val="0"/>
            </w:pPr>
            <w:r>
              <w:t>£32,821.38</w:t>
            </w:r>
            <w:r w:rsidR="00E51616">
              <w:t xml:space="preserve"> plus indexation</w:t>
            </w:r>
            <w:r>
              <w:t xml:space="preserve"> for Community Infrastructure</w:t>
            </w:r>
          </w:p>
          <w:p w14:paraId="02741EBA" w14:textId="177E5EEB" w:rsidR="007F2806" w:rsidRDefault="007F2806">
            <w:pPr>
              <w:pStyle w:val="ListParagraph"/>
              <w:numPr>
                <w:ilvl w:val="0"/>
                <w:numId w:val="68"/>
              </w:numPr>
              <w:autoSpaceDE w:val="0"/>
              <w:autoSpaceDN w:val="0"/>
              <w:adjustRightInd w:val="0"/>
            </w:pPr>
            <w:r>
              <w:t>£5,883.71</w:t>
            </w:r>
            <w:r w:rsidR="00E51616">
              <w:t xml:space="preserve"> plus indexation</w:t>
            </w:r>
            <w:r>
              <w:t xml:space="preserve"> for Local Green Space</w:t>
            </w:r>
          </w:p>
          <w:p w14:paraId="6811858A" w14:textId="00E79919" w:rsidR="007F2806" w:rsidRDefault="007F2806">
            <w:pPr>
              <w:pStyle w:val="ListParagraph"/>
              <w:numPr>
                <w:ilvl w:val="0"/>
                <w:numId w:val="68"/>
              </w:numPr>
              <w:autoSpaceDE w:val="0"/>
              <w:autoSpaceDN w:val="0"/>
              <w:adjustRightInd w:val="0"/>
            </w:pPr>
            <w:r>
              <w:t>£</w:t>
            </w:r>
            <w:r w:rsidR="0035172A">
              <w:t>775.49</w:t>
            </w:r>
            <w:r w:rsidR="00E51616">
              <w:t xml:space="preserve"> plus indexation</w:t>
            </w:r>
            <w:r w:rsidR="0035172A">
              <w:t xml:space="preserve"> for New Forest Ranger</w:t>
            </w:r>
          </w:p>
          <w:p w14:paraId="4D7D0C80" w14:textId="40846D69" w:rsidR="0035172A" w:rsidRDefault="0035172A">
            <w:pPr>
              <w:pStyle w:val="ListParagraph"/>
              <w:numPr>
                <w:ilvl w:val="0"/>
                <w:numId w:val="68"/>
              </w:numPr>
              <w:autoSpaceDE w:val="0"/>
              <w:autoSpaceDN w:val="0"/>
              <w:adjustRightInd w:val="0"/>
            </w:pPr>
            <w:r>
              <w:t>£37,164.52</w:t>
            </w:r>
            <w:r w:rsidR="00E51616">
              <w:t xml:space="preserve"> plus indexation</w:t>
            </w:r>
            <w:r>
              <w:t xml:space="preserve"> for New Forest SANG</w:t>
            </w:r>
          </w:p>
          <w:p w14:paraId="564DFD36" w14:textId="5D236F1D" w:rsidR="0035172A" w:rsidRDefault="0035172A">
            <w:pPr>
              <w:pStyle w:val="ListParagraph"/>
              <w:numPr>
                <w:ilvl w:val="0"/>
                <w:numId w:val="68"/>
              </w:numPr>
              <w:autoSpaceDE w:val="0"/>
              <w:autoSpaceDN w:val="0"/>
              <w:adjustRightInd w:val="0"/>
            </w:pPr>
            <w:r>
              <w:t>£172.39</w:t>
            </w:r>
            <w:r w:rsidR="00E51616">
              <w:t xml:space="preserve"> plus indexation</w:t>
            </w:r>
            <w:r>
              <w:t xml:space="preserve"> for New Forest SANG Monitoring</w:t>
            </w:r>
          </w:p>
          <w:p w14:paraId="78F0B951" w14:textId="2EBEFC4E" w:rsidR="0035172A" w:rsidRDefault="0035172A">
            <w:pPr>
              <w:pStyle w:val="ListParagraph"/>
              <w:numPr>
                <w:ilvl w:val="0"/>
                <w:numId w:val="68"/>
              </w:numPr>
              <w:autoSpaceDE w:val="0"/>
              <w:autoSpaceDN w:val="0"/>
              <w:adjustRightInd w:val="0"/>
            </w:pPr>
            <w:r>
              <w:t>£</w:t>
            </w:r>
            <w:r w:rsidR="00F444E4">
              <w:t>3,628.08</w:t>
            </w:r>
            <w:r w:rsidR="00E51616">
              <w:t xml:space="preserve"> plus indexation</w:t>
            </w:r>
            <w:r w:rsidR="00F444E4">
              <w:t xml:space="preserve"> for New Forest Commercial Risk</w:t>
            </w:r>
          </w:p>
          <w:p w14:paraId="75845C52" w14:textId="38C1460E" w:rsidR="00F444E4" w:rsidRDefault="00F444E4">
            <w:pPr>
              <w:pStyle w:val="ListParagraph"/>
              <w:numPr>
                <w:ilvl w:val="0"/>
                <w:numId w:val="68"/>
              </w:numPr>
              <w:autoSpaceDE w:val="0"/>
              <w:autoSpaceDN w:val="0"/>
              <w:adjustRightInd w:val="0"/>
            </w:pPr>
            <w:r>
              <w:t>£100,000.00</w:t>
            </w:r>
            <w:r w:rsidR="009A5AE8">
              <w:t xml:space="preserve"> plus indexation</w:t>
            </w:r>
            <w:r>
              <w:t xml:space="preserve"> for Affordable Housing</w:t>
            </w:r>
          </w:p>
          <w:p w14:paraId="55DD7B1E" w14:textId="0D0763DB" w:rsidR="00F444E4" w:rsidRDefault="00F444E4">
            <w:pPr>
              <w:pStyle w:val="ListParagraph"/>
              <w:numPr>
                <w:ilvl w:val="0"/>
                <w:numId w:val="68"/>
              </w:numPr>
              <w:autoSpaceDE w:val="0"/>
              <w:autoSpaceDN w:val="0"/>
              <w:adjustRightInd w:val="0"/>
            </w:pPr>
            <w:r>
              <w:t>£9,994.27</w:t>
            </w:r>
            <w:r w:rsidR="00E51616">
              <w:t xml:space="preserve"> plus indexation</w:t>
            </w:r>
            <w:r>
              <w:t xml:space="preserve"> for Public Art</w:t>
            </w:r>
          </w:p>
          <w:p w14:paraId="1339C2C7" w14:textId="7A4527AF" w:rsidR="00F444E4" w:rsidRDefault="00F444E4">
            <w:pPr>
              <w:pStyle w:val="ListParagraph"/>
              <w:numPr>
                <w:ilvl w:val="0"/>
                <w:numId w:val="68"/>
              </w:numPr>
              <w:autoSpaceDE w:val="0"/>
              <w:autoSpaceDN w:val="0"/>
              <w:adjustRightInd w:val="0"/>
            </w:pPr>
            <w:r>
              <w:t>£17,901.98</w:t>
            </w:r>
            <w:r w:rsidR="00E51616">
              <w:t xml:space="preserve"> plus indexation</w:t>
            </w:r>
            <w:r>
              <w:t xml:space="preserve"> for POS &amp; Play</w:t>
            </w:r>
          </w:p>
          <w:p w14:paraId="3FFD8295" w14:textId="4BA78F03" w:rsidR="00F444E4" w:rsidRDefault="00940A63">
            <w:pPr>
              <w:pStyle w:val="ListParagraph"/>
              <w:numPr>
                <w:ilvl w:val="0"/>
                <w:numId w:val="68"/>
              </w:numPr>
              <w:autoSpaceDE w:val="0"/>
              <w:autoSpaceDN w:val="0"/>
              <w:adjustRightInd w:val="0"/>
            </w:pPr>
            <w:r>
              <w:t>£2,023.65</w:t>
            </w:r>
            <w:r w:rsidR="00E51616">
              <w:t xml:space="preserve"> plus indexation</w:t>
            </w:r>
            <w:r>
              <w:t xml:space="preserve"> for Wildlife Sites</w:t>
            </w:r>
          </w:p>
          <w:p w14:paraId="1B5E256A" w14:textId="77777777" w:rsidR="007D1462" w:rsidRDefault="007D1462" w:rsidP="007D1462">
            <w:pPr>
              <w:autoSpaceDE w:val="0"/>
              <w:autoSpaceDN w:val="0"/>
              <w:adjustRightInd w:val="0"/>
              <w:ind w:left="360"/>
            </w:pPr>
          </w:p>
          <w:p w14:paraId="371697AA" w14:textId="77777777" w:rsidR="00BF0C46" w:rsidRPr="007A00F7" w:rsidRDefault="00BF0C46" w:rsidP="007D1462">
            <w:pPr>
              <w:autoSpaceDE w:val="0"/>
              <w:autoSpaceDN w:val="0"/>
              <w:adjustRightInd w:val="0"/>
              <w:ind w:left="360"/>
              <w:rPr>
                <w:b/>
                <w:bCs/>
              </w:rPr>
            </w:pPr>
            <w:r w:rsidRPr="007A00F7">
              <w:rPr>
                <w:b/>
                <w:bCs/>
              </w:rPr>
              <w:t>Total entered into £210,</w:t>
            </w:r>
            <w:r w:rsidR="006249C3" w:rsidRPr="007A00F7">
              <w:rPr>
                <w:b/>
                <w:bCs/>
              </w:rPr>
              <w:t>365.47</w:t>
            </w:r>
          </w:p>
          <w:p w14:paraId="561AE5F6" w14:textId="2F0D27CA" w:rsidR="00115AC6" w:rsidRPr="007A00F7" w:rsidRDefault="00115AC6" w:rsidP="007A00F7">
            <w:pPr>
              <w:autoSpaceDE w:val="0"/>
              <w:autoSpaceDN w:val="0"/>
              <w:adjustRightInd w:val="0"/>
              <w:ind w:left="360"/>
            </w:pPr>
          </w:p>
        </w:tc>
      </w:tr>
      <w:tr w:rsidR="00B13E20" w14:paraId="2CE497D5" w14:textId="77777777" w:rsidTr="00B13E20">
        <w:tc>
          <w:tcPr>
            <w:tcW w:w="9016" w:type="dxa"/>
          </w:tcPr>
          <w:p w14:paraId="4705B90C" w14:textId="77777777" w:rsidR="00B13E20" w:rsidRDefault="0058305B" w:rsidP="00066893">
            <w:pPr>
              <w:autoSpaceDE w:val="0"/>
              <w:autoSpaceDN w:val="0"/>
              <w:adjustRightInd w:val="0"/>
              <w:rPr>
                <w:b/>
                <w:bCs/>
              </w:rPr>
            </w:pPr>
            <w:r w:rsidRPr="0058305B">
              <w:rPr>
                <w:b/>
                <w:bCs/>
              </w:rPr>
              <w:t>F/22/94034</w:t>
            </w:r>
            <w:r w:rsidR="00B95872">
              <w:rPr>
                <w:b/>
                <w:bCs/>
              </w:rPr>
              <w:t xml:space="preserve">: Former </w:t>
            </w:r>
            <w:proofErr w:type="spellStart"/>
            <w:r w:rsidR="00B95872">
              <w:rPr>
                <w:b/>
                <w:bCs/>
              </w:rPr>
              <w:t>Moorhill</w:t>
            </w:r>
            <w:proofErr w:type="spellEnd"/>
            <w:r w:rsidR="00B95872">
              <w:rPr>
                <w:b/>
                <w:bCs/>
              </w:rPr>
              <w:t xml:space="preserve">, </w:t>
            </w:r>
            <w:proofErr w:type="spellStart"/>
            <w:r w:rsidR="00B95872">
              <w:rPr>
                <w:b/>
                <w:bCs/>
              </w:rPr>
              <w:t>Moorhill</w:t>
            </w:r>
            <w:proofErr w:type="spellEnd"/>
            <w:r w:rsidR="00B95872">
              <w:rPr>
                <w:b/>
                <w:bCs/>
              </w:rPr>
              <w:t xml:space="preserve"> Road, West End</w:t>
            </w:r>
          </w:p>
          <w:p w14:paraId="0F48F23F" w14:textId="77777777" w:rsidR="004F7754" w:rsidRDefault="00BE3999" w:rsidP="00066893">
            <w:pPr>
              <w:autoSpaceDE w:val="0"/>
              <w:autoSpaceDN w:val="0"/>
              <w:adjustRightInd w:val="0"/>
              <w:rPr>
                <w:i/>
                <w:iCs/>
              </w:rPr>
            </w:pPr>
            <w:r w:rsidRPr="00BE3999">
              <w:rPr>
                <w:i/>
                <w:iCs/>
              </w:rPr>
              <w:t>Proposed 70-bed care home (Use Class C2); associated access, parking, landscaping, sustainable drainage, electricity sub-station, other structures and works; following demolition and clearance of the existing site.</w:t>
            </w:r>
          </w:p>
          <w:p w14:paraId="2F3238FE" w14:textId="77777777" w:rsidR="00115AC6" w:rsidRDefault="00115AC6" w:rsidP="00066893">
            <w:pPr>
              <w:autoSpaceDE w:val="0"/>
              <w:autoSpaceDN w:val="0"/>
              <w:adjustRightInd w:val="0"/>
              <w:rPr>
                <w:i/>
                <w:iCs/>
              </w:rPr>
            </w:pPr>
          </w:p>
          <w:p w14:paraId="02E50368" w14:textId="24FEA9E8" w:rsidR="009B61DA" w:rsidRDefault="00940A63">
            <w:pPr>
              <w:pStyle w:val="ListParagraph"/>
              <w:numPr>
                <w:ilvl w:val="0"/>
                <w:numId w:val="68"/>
              </w:numPr>
              <w:autoSpaceDE w:val="0"/>
              <w:autoSpaceDN w:val="0"/>
              <w:adjustRightInd w:val="0"/>
            </w:pPr>
            <w:r>
              <w:t>£25,862.65</w:t>
            </w:r>
            <w:r w:rsidR="009A5AE8">
              <w:t xml:space="preserve"> plus indexation</w:t>
            </w:r>
            <w:r>
              <w:t xml:space="preserve"> for Public Art</w:t>
            </w:r>
          </w:p>
          <w:p w14:paraId="132EF9A4" w14:textId="4B10BEE6" w:rsidR="00940A63" w:rsidRDefault="00940A63">
            <w:pPr>
              <w:pStyle w:val="ListParagraph"/>
              <w:numPr>
                <w:ilvl w:val="0"/>
                <w:numId w:val="68"/>
              </w:numPr>
              <w:autoSpaceDE w:val="0"/>
              <w:autoSpaceDN w:val="0"/>
              <w:adjustRightInd w:val="0"/>
            </w:pPr>
            <w:r>
              <w:t>£8,606.89</w:t>
            </w:r>
            <w:r w:rsidR="009A5AE8">
              <w:t xml:space="preserve"> plus indexation</w:t>
            </w:r>
            <w:r>
              <w:t xml:space="preserve"> for Health</w:t>
            </w:r>
          </w:p>
          <w:p w14:paraId="59E8BFA2" w14:textId="77777777" w:rsidR="00940A63" w:rsidRDefault="00940A63">
            <w:pPr>
              <w:pStyle w:val="ListParagraph"/>
              <w:numPr>
                <w:ilvl w:val="0"/>
                <w:numId w:val="68"/>
              </w:numPr>
              <w:autoSpaceDE w:val="0"/>
              <w:autoSpaceDN w:val="0"/>
              <w:adjustRightInd w:val="0"/>
            </w:pPr>
            <w:r>
              <w:t>£3,000.00 for S106 Monitoring</w:t>
            </w:r>
          </w:p>
          <w:p w14:paraId="79CDC00F" w14:textId="77777777" w:rsidR="007D1462" w:rsidRDefault="007D1462" w:rsidP="007D1462">
            <w:pPr>
              <w:autoSpaceDE w:val="0"/>
              <w:autoSpaceDN w:val="0"/>
              <w:adjustRightInd w:val="0"/>
              <w:ind w:left="360"/>
            </w:pPr>
          </w:p>
          <w:p w14:paraId="629C37FE" w14:textId="77777777" w:rsidR="006249C3" w:rsidRDefault="006249C3" w:rsidP="007D1462">
            <w:pPr>
              <w:autoSpaceDE w:val="0"/>
              <w:autoSpaceDN w:val="0"/>
              <w:adjustRightInd w:val="0"/>
              <w:ind w:left="360"/>
              <w:rPr>
                <w:b/>
                <w:bCs/>
              </w:rPr>
            </w:pPr>
            <w:r w:rsidRPr="007A00F7">
              <w:rPr>
                <w:b/>
                <w:bCs/>
              </w:rPr>
              <w:t>Total entered into £</w:t>
            </w:r>
            <w:r w:rsidR="007C7563" w:rsidRPr="007A00F7">
              <w:rPr>
                <w:b/>
                <w:bCs/>
              </w:rPr>
              <w:t>37,469.54</w:t>
            </w:r>
          </w:p>
          <w:p w14:paraId="32C439A7" w14:textId="6A112A3A" w:rsidR="00115AC6" w:rsidRPr="00115AC6" w:rsidRDefault="00115AC6" w:rsidP="007A00F7">
            <w:pPr>
              <w:autoSpaceDE w:val="0"/>
              <w:autoSpaceDN w:val="0"/>
              <w:adjustRightInd w:val="0"/>
              <w:ind w:left="360"/>
              <w:rPr>
                <w:b/>
                <w:bCs/>
              </w:rPr>
            </w:pPr>
          </w:p>
        </w:tc>
      </w:tr>
      <w:tr w:rsidR="00B13E20" w14:paraId="4833BC8E" w14:textId="77777777" w:rsidTr="00B13E20">
        <w:tc>
          <w:tcPr>
            <w:tcW w:w="9016" w:type="dxa"/>
          </w:tcPr>
          <w:p w14:paraId="7578F13D" w14:textId="77777777" w:rsidR="00B13E20" w:rsidRDefault="0058305B" w:rsidP="00066893">
            <w:pPr>
              <w:autoSpaceDE w:val="0"/>
              <w:autoSpaceDN w:val="0"/>
              <w:adjustRightInd w:val="0"/>
              <w:rPr>
                <w:b/>
                <w:bCs/>
              </w:rPr>
            </w:pPr>
            <w:r w:rsidRPr="0058305B">
              <w:rPr>
                <w:b/>
                <w:bCs/>
              </w:rPr>
              <w:t>F/23/95533</w:t>
            </w:r>
            <w:r w:rsidR="00B95872">
              <w:rPr>
                <w:b/>
                <w:bCs/>
              </w:rPr>
              <w:t xml:space="preserve">: </w:t>
            </w:r>
            <w:r w:rsidR="0099386A">
              <w:rPr>
                <w:b/>
                <w:bCs/>
              </w:rPr>
              <w:t xml:space="preserve">17 </w:t>
            </w:r>
            <w:proofErr w:type="spellStart"/>
            <w:r w:rsidR="0099386A">
              <w:rPr>
                <w:b/>
                <w:bCs/>
              </w:rPr>
              <w:t>Swaythling</w:t>
            </w:r>
            <w:proofErr w:type="spellEnd"/>
            <w:r w:rsidR="0099386A">
              <w:rPr>
                <w:b/>
                <w:bCs/>
              </w:rPr>
              <w:t xml:space="preserve"> Road, </w:t>
            </w:r>
            <w:r w:rsidR="00F54C08">
              <w:rPr>
                <w:b/>
                <w:bCs/>
              </w:rPr>
              <w:t>West End, SO30 3AG</w:t>
            </w:r>
          </w:p>
          <w:p w14:paraId="64AC5A55" w14:textId="77777777" w:rsidR="004F7754" w:rsidRDefault="00B84A78" w:rsidP="00066893">
            <w:pPr>
              <w:autoSpaceDE w:val="0"/>
              <w:autoSpaceDN w:val="0"/>
              <w:adjustRightInd w:val="0"/>
              <w:rPr>
                <w:i/>
                <w:iCs/>
              </w:rPr>
            </w:pPr>
            <w:r w:rsidRPr="007A00F7">
              <w:rPr>
                <w:i/>
                <w:iCs/>
              </w:rPr>
              <w:t>Erection of 4.no flats.</w:t>
            </w:r>
          </w:p>
          <w:p w14:paraId="38021554" w14:textId="77777777" w:rsidR="00115AC6" w:rsidRDefault="00115AC6" w:rsidP="00066893">
            <w:pPr>
              <w:autoSpaceDE w:val="0"/>
              <w:autoSpaceDN w:val="0"/>
              <w:adjustRightInd w:val="0"/>
              <w:rPr>
                <w:i/>
                <w:iCs/>
              </w:rPr>
            </w:pPr>
          </w:p>
          <w:p w14:paraId="0BA02AD6" w14:textId="77777777" w:rsidR="009B61DA" w:rsidRDefault="000B4371">
            <w:pPr>
              <w:pStyle w:val="ListParagraph"/>
              <w:numPr>
                <w:ilvl w:val="0"/>
                <w:numId w:val="68"/>
              </w:numPr>
              <w:autoSpaceDE w:val="0"/>
              <w:autoSpaceDN w:val="0"/>
              <w:adjustRightInd w:val="0"/>
            </w:pPr>
            <w:r>
              <w:t>£8,230.63 for New Forest SANG</w:t>
            </w:r>
          </w:p>
          <w:p w14:paraId="573B974A" w14:textId="77777777" w:rsidR="000B4371" w:rsidRDefault="000B4371">
            <w:pPr>
              <w:pStyle w:val="ListParagraph"/>
              <w:numPr>
                <w:ilvl w:val="0"/>
                <w:numId w:val="68"/>
              </w:numPr>
              <w:autoSpaceDE w:val="0"/>
              <w:autoSpaceDN w:val="0"/>
              <w:adjustRightInd w:val="0"/>
            </w:pPr>
            <w:r>
              <w:t>£171.74 for New Forest Ranger</w:t>
            </w:r>
          </w:p>
          <w:p w14:paraId="27EFE9A7" w14:textId="77777777" w:rsidR="00285321" w:rsidRDefault="000B4371" w:rsidP="00285321">
            <w:pPr>
              <w:pStyle w:val="ListParagraph"/>
              <w:numPr>
                <w:ilvl w:val="0"/>
                <w:numId w:val="68"/>
              </w:numPr>
              <w:autoSpaceDE w:val="0"/>
              <w:autoSpaceDN w:val="0"/>
              <w:adjustRightInd w:val="0"/>
            </w:pPr>
            <w:r>
              <w:t>£</w:t>
            </w:r>
            <w:r w:rsidR="00285321">
              <w:t>842.87 for New Forest Commercial Risk</w:t>
            </w:r>
          </w:p>
          <w:p w14:paraId="355DF602" w14:textId="77777777" w:rsidR="00285321" w:rsidRDefault="00285321" w:rsidP="00285321">
            <w:pPr>
              <w:pStyle w:val="ListParagraph"/>
              <w:numPr>
                <w:ilvl w:val="0"/>
                <w:numId w:val="68"/>
              </w:numPr>
              <w:autoSpaceDE w:val="0"/>
              <w:autoSpaceDN w:val="0"/>
              <w:adjustRightInd w:val="0"/>
            </w:pPr>
            <w:r>
              <w:t>£38.18 for New Forest SANG Monitoring</w:t>
            </w:r>
          </w:p>
          <w:p w14:paraId="4A9B6D34" w14:textId="77777777" w:rsidR="00285321" w:rsidRDefault="00730D1B" w:rsidP="00285321">
            <w:pPr>
              <w:pStyle w:val="ListParagraph"/>
              <w:numPr>
                <w:ilvl w:val="0"/>
                <w:numId w:val="68"/>
              </w:numPr>
              <w:autoSpaceDE w:val="0"/>
              <w:autoSpaceDN w:val="0"/>
              <w:adjustRightInd w:val="0"/>
            </w:pPr>
            <w:r>
              <w:t>£1,828.04 for Solent Recreational Mitigation Partnership</w:t>
            </w:r>
          </w:p>
          <w:p w14:paraId="187204A7" w14:textId="0E3D1693" w:rsidR="00730D1B" w:rsidRDefault="00730D1B" w:rsidP="00285321">
            <w:pPr>
              <w:pStyle w:val="ListParagraph"/>
              <w:numPr>
                <w:ilvl w:val="0"/>
                <w:numId w:val="68"/>
              </w:numPr>
              <w:autoSpaceDE w:val="0"/>
              <w:autoSpaceDN w:val="0"/>
              <w:adjustRightInd w:val="0"/>
            </w:pPr>
            <w:r>
              <w:t>£80.00 Upfront Payment Fee</w:t>
            </w:r>
          </w:p>
          <w:p w14:paraId="5C0825C9" w14:textId="77777777" w:rsidR="00730D1B" w:rsidRDefault="00730D1B" w:rsidP="00730D1B">
            <w:pPr>
              <w:autoSpaceDE w:val="0"/>
              <w:autoSpaceDN w:val="0"/>
              <w:adjustRightInd w:val="0"/>
              <w:ind w:left="360"/>
            </w:pPr>
          </w:p>
          <w:p w14:paraId="70482F2D" w14:textId="77777777" w:rsidR="007C7563" w:rsidRDefault="007C7563" w:rsidP="00730D1B">
            <w:pPr>
              <w:autoSpaceDE w:val="0"/>
              <w:autoSpaceDN w:val="0"/>
              <w:adjustRightInd w:val="0"/>
              <w:ind w:left="360"/>
              <w:rPr>
                <w:b/>
                <w:bCs/>
              </w:rPr>
            </w:pPr>
            <w:r w:rsidRPr="007A00F7">
              <w:rPr>
                <w:b/>
                <w:bCs/>
              </w:rPr>
              <w:t>Total entered into £11,191.45</w:t>
            </w:r>
          </w:p>
          <w:p w14:paraId="58A189E3" w14:textId="1F9A7801" w:rsidR="00115AC6" w:rsidRPr="00115AC6" w:rsidRDefault="00115AC6" w:rsidP="007A00F7">
            <w:pPr>
              <w:autoSpaceDE w:val="0"/>
              <w:autoSpaceDN w:val="0"/>
              <w:adjustRightInd w:val="0"/>
              <w:ind w:left="360"/>
              <w:rPr>
                <w:b/>
                <w:bCs/>
              </w:rPr>
            </w:pPr>
          </w:p>
        </w:tc>
      </w:tr>
    </w:tbl>
    <w:p w14:paraId="6378D0B3" w14:textId="77777777" w:rsidR="00C44C4D" w:rsidRDefault="00C44C4D" w:rsidP="00066893">
      <w:pPr>
        <w:autoSpaceDE w:val="0"/>
        <w:autoSpaceDN w:val="0"/>
        <w:adjustRightInd w:val="0"/>
        <w:spacing w:after="0" w:line="240" w:lineRule="auto"/>
        <w:rPr>
          <w:b/>
          <w:bCs/>
        </w:rPr>
      </w:pPr>
    </w:p>
    <w:p w14:paraId="774AB33C" w14:textId="77777777" w:rsidR="00C44C4D" w:rsidRDefault="00C44C4D" w:rsidP="00066893">
      <w:pPr>
        <w:autoSpaceDE w:val="0"/>
        <w:autoSpaceDN w:val="0"/>
        <w:adjustRightInd w:val="0"/>
        <w:spacing w:after="0" w:line="240" w:lineRule="auto"/>
        <w:rPr>
          <w:b/>
          <w:bCs/>
        </w:rPr>
      </w:pPr>
    </w:p>
    <w:p w14:paraId="0F240169" w14:textId="77777777" w:rsidR="00907F2E" w:rsidRPr="00790B0A" w:rsidRDefault="00907F2E" w:rsidP="00066893">
      <w:pPr>
        <w:autoSpaceDE w:val="0"/>
        <w:autoSpaceDN w:val="0"/>
        <w:adjustRightInd w:val="0"/>
        <w:spacing w:after="0" w:line="240" w:lineRule="auto"/>
        <w:rPr>
          <w:b/>
          <w:bCs/>
        </w:rPr>
      </w:pPr>
    </w:p>
    <w:p w14:paraId="09E34345" w14:textId="524DB8BB" w:rsidR="00D04B43" w:rsidRPr="007A079F" w:rsidRDefault="00D04B43" w:rsidP="00D04B43">
      <w:pPr>
        <w:jc w:val="both"/>
        <w:rPr>
          <w:u w:val="single"/>
        </w:rPr>
      </w:pPr>
      <w:bookmarkStart w:id="54" w:name="_Hlk59569840"/>
      <w:r w:rsidRPr="2934EBA0">
        <w:rPr>
          <w:u w:val="single"/>
        </w:rPr>
        <w:t xml:space="preserve">Solent Recreation Management Plan (SRMP) Contributions </w:t>
      </w:r>
      <w:r w:rsidR="00D97893" w:rsidRPr="2934EBA0">
        <w:rPr>
          <w:u w:val="single"/>
        </w:rPr>
        <w:t>Entered into</w:t>
      </w:r>
      <w:r w:rsidR="003766A3" w:rsidRPr="2934EBA0">
        <w:rPr>
          <w:u w:val="single"/>
        </w:rPr>
        <w:t xml:space="preserve"> in</w:t>
      </w:r>
      <w:r w:rsidRPr="2934EBA0">
        <w:rPr>
          <w:u w:val="single"/>
        </w:rPr>
        <w:t xml:space="preserve"> 20</w:t>
      </w:r>
      <w:r w:rsidR="00F80CBF" w:rsidRPr="2934EBA0">
        <w:rPr>
          <w:u w:val="single"/>
        </w:rPr>
        <w:t>23/24</w:t>
      </w:r>
    </w:p>
    <w:p w14:paraId="6E987000" w14:textId="3F1EC740" w:rsidR="00D04B43" w:rsidRPr="007A00F7" w:rsidRDefault="00F00885" w:rsidP="007A00F7">
      <w:pPr>
        <w:ind w:left="717" w:hanging="660"/>
        <w:rPr>
          <w:strike/>
        </w:rPr>
      </w:pPr>
      <w:bookmarkStart w:id="55" w:name="_Hlk94265624"/>
      <w:r>
        <w:t>3.13</w:t>
      </w:r>
      <w:r w:rsidR="00C924AE">
        <w:tab/>
      </w:r>
      <w:r w:rsidR="00D97893">
        <w:t>Developers entered into a</w:t>
      </w:r>
      <w:r w:rsidR="00D04B43">
        <w:t xml:space="preserve"> total </w:t>
      </w:r>
      <w:r w:rsidR="00D04B43" w:rsidRPr="00606D1C">
        <w:t xml:space="preserve">of </w:t>
      </w:r>
      <w:r w:rsidR="00E26296" w:rsidRPr="00606D1C">
        <w:t>£10,440.25</w:t>
      </w:r>
      <w:r w:rsidR="002743B2" w:rsidRPr="00F00885">
        <w:rPr>
          <w:b/>
          <w:bCs/>
        </w:rPr>
        <w:t xml:space="preserve"> </w:t>
      </w:r>
      <w:r w:rsidR="00D97893">
        <w:t>with the Council over the course of 20</w:t>
      </w:r>
      <w:r w:rsidR="00F80CBF">
        <w:t>23/24</w:t>
      </w:r>
      <w:r w:rsidR="00D97893">
        <w:t xml:space="preserve"> for developments </w:t>
      </w:r>
      <w:r w:rsidR="00D04B43">
        <w:t xml:space="preserve">within 5.6km of the coast </w:t>
      </w:r>
      <w:r w:rsidR="00D97893">
        <w:t xml:space="preserve">for the purpose of securing </w:t>
      </w:r>
      <w:r w:rsidR="00D04B43">
        <w:t xml:space="preserve">Solent habitat mitigation </w:t>
      </w:r>
      <w:r w:rsidR="00D04B43" w:rsidRPr="00EE6106">
        <w:t xml:space="preserve">measures. </w:t>
      </w:r>
      <w:bookmarkEnd w:id="55"/>
    </w:p>
    <w:p w14:paraId="685C9EE8" w14:textId="77777777" w:rsidR="00320FFC" w:rsidRPr="007A00F7" w:rsidRDefault="00320FFC" w:rsidP="00A049A3">
      <w:pPr>
        <w:pStyle w:val="ListParagraph"/>
        <w:ind w:left="0" w:hanging="709"/>
        <w:rPr>
          <w:strike/>
        </w:rPr>
      </w:pPr>
    </w:p>
    <w:p w14:paraId="2C7815BD" w14:textId="1ACEA982" w:rsidR="00320FFC" w:rsidRDefault="00320FFC" w:rsidP="003645F8">
      <w:pPr>
        <w:pStyle w:val="ListParagraph"/>
        <w:ind w:left="0"/>
        <w:rPr>
          <w:u w:val="single"/>
        </w:rPr>
      </w:pPr>
      <w:r w:rsidRPr="2934EBA0">
        <w:rPr>
          <w:u w:val="single"/>
        </w:rPr>
        <w:t xml:space="preserve">New Forest Mitigation Contributions </w:t>
      </w:r>
      <w:r w:rsidR="003645F8" w:rsidRPr="2934EBA0">
        <w:rPr>
          <w:u w:val="single"/>
        </w:rPr>
        <w:t>Entered into 20</w:t>
      </w:r>
      <w:r w:rsidR="00F80CBF" w:rsidRPr="2934EBA0">
        <w:rPr>
          <w:u w:val="single"/>
        </w:rPr>
        <w:t>23/24</w:t>
      </w:r>
    </w:p>
    <w:p w14:paraId="78EC1B50" w14:textId="77777777" w:rsidR="003645F8" w:rsidRDefault="003645F8" w:rsidP="003645F8">
      <w:pPr>
        <w:pStyle w:val="ListParagraph"/>
        <w:ind w:left="0"/>
        <w:rPr>
          <w:u w:val="single"/>
        </w:rPr>
      </w:pPr>
    </w:p>
    <w:p w14:paraId="30807A84" w14:textId="48302DC3" w:rsidR="003645F8" w:rsidRPr="007A00F7" w:rsidRDefault="00F83770" w:rsidP="007A00F7">
      <w:pPr>
        <w:ind w:left="720" w:hanging="720"/>
        <w:rPr>
          <w:strike/>
          <w:u w:val="single"/>
        </w:rPr>
      </w:pPr>
      <w:r>
        <w:t xml:space="preserve">3.14 </w:t>
      </w:r>
      <w:r>
        <w:tab/>
      </w:r>
      <w:r w:rsidR="003645F8" w:rsidRPr="00EE2173">
        <w:t>Developers entered into a total of</w:t>
      </w:r>
      <w:r w:rsidR="00F44A34">
        <w:t xml:space="preserve"> </w:t>
      </w:r>
      <w:r w:rsidR="007B4E95" w:rsidRPr="00EE2173">
        <w:t>£</w:t>
      </w:r>
      <w:r w:rsidR="00D471E4">
        <w:t>1,258</w:t>
      </w:r>
      <w:r w:rsidR="007B4E95" w:rsidRPr="00EE2173">
        <w:t>,5</w:t>
      </w:r>
      <w:r w:rsidR="00662F9A">
        <w:t>25</w:t>
      </w:r>
      <w:r w:rsidR="007B4E95" w:rsidRPr="00EE2173">
        <w:t>.</w:t>
      </w:r>
      <w:r w:rsidR="00662F9A">
        <w:t>89</w:t>
      </w:r>
      <w:r w:rsidR="00317CC7" w:rsidRPr="00EE2173">
        <w:t xml:space="preserve"> with the Council over the course of 20</w:t>
      </w:r>
      <w:r w:rsidR="00F80CBF">
        <w:t>23/24</w:t>
      </w:r>
      <w:r w:rsidR="00317CC7" w:rsidRPr="00EE2173">
        <w:t xml:space="preserve"> for </w:t>
      </w:r>
      <w:r w:rsidR="00360060" w:rsidRPr="00EE2173">
        <w:t xml:space="preserve">the purpose of mitigating the impact of development </w:t>
      </w:r>
      <w:r w:rsidR="00884AC7" w:rsidRPr="00EE2173">
        <w:t>within a 13.8km straight line catch</w:t>
      </w:r>
      <w:r w:rsidR="00952621" w:rsidRPr="00EE2173">
        <w:t>me</w:t>
      </w:r>
      <w:r w:rsidR="00884AC7" w:rsidRPr="00EE2173">
        <w:t xml:space="preserve">nt area </w:t>
      </w:r>
      <w:r w:rsidR="00360060" w:rsidRPr="00EE2173">
        <w:t xml:space="preserve">upon the New Forest. </w:t>
      </w:r>
    </w:p>
    <w:p w14:paraId="463612E0" w14:textId="4642134C" w:rsidR="005E37FC" w:rsidRPr="003645F8" w:rsidRDefault="005E37FC" w:rsidP="00353607">
      <w:pPr>
        <w:spacing w:after="0"/>
        <w:ind w:hanging="709"/>
        <w:rPr>
          <w:highlight w:val="yellow"/>
        </w:rPr>
      </w:pPr>
    </w:p>
    <w:p w14:paraId="6FEB354E" w14:textId="0C722981" w:rsidR="005E37FC" w:rsidRDefault="005E37FC" w:rsidP="009A3C9C">
      <w:pPr>
        <w:jc w:val="both"/>
        <w:rPr>
          <w:u w:val="single"/>
        </w:rPr>
      </w:pPr>
      <w:r w:rsidRPr="2934EBA0">
        <w:rPr>
          <w:u w:val="single"/>
        </w:rPr>
        <w:t>Nitrates Mitigation</w:t>
      </w:r>
      <w:r w:rsidR="009A3C9C" w:rsidRPr="2934EBA0">
        <w:rPr>
          <w:u w:val="single"/>
        </w:rPr>
        <w:t xml:space="preserve"> contributions entered into in 20</w:t>
      </w:r>
      <w:r w:rsidR="00F80CBF" w:rsidRPr="2934EBA0">
        <w:rPr>
          <w:u w:val="single"/>
        </w:rPr>
        <w:t>23/24</w:t>
      </w:r>
    </w:p>
    <w:p w14:paraId="56D804CA" w14:textId="57B606CE" w:rsidR="009F2C6F" w:rsidRPr="007A00F7" w:rsidRDefault="00622ABB" w:rsidP="007A00F7">
      <w:pPr>
        <w:ind w:left="720" w:hanging="720"/>
        <w:rPr>
          <w:strike/>
        </w:rPr>
      </w:pPr>
      <w:r>
        <w:t xml:space="preserve">3.15 </w:t>
      </w:r>
      <w:r>
        <w:tab/>
      </w:r>
      <w:r w:rsidR="00D10528" w:rsidRPr="51FC8B29">
        <w:t xml:space="preserve">Developers entered into a total of </w:t>
      </w:r>
      <w:r w:rsidR="00D10528" w:rsidRPr="00803DF9">
        <w:t>£</w:t>
      </w:r>
      <w:r w:rsidR="00662F9A">
        <w:t>0</w:t>
      </w:r>
      <w:r w:rsidR="00803DF9" w:rsidRPr="51FC8B29">
        <w:t xml:space="preserve"> </w:t>
      </w:r>
      <w:r w:rsidR="00D10528" w:rsidRPr="51FC8B29">
        <w:t xml:space="preserve">with the Council in </w:t>
      </w:r>
      <w:r w:rsidR="00D10528" w:rsidRPr="00BE1BB2">
        <w:t>20</w:t>
      </w:r>
      <w:r w:rsidR="00F80CBF" w:rsidRPr="00BE1BB2">
        <w:t>23/24</w:t>
      </w:r>
      <w:r w:rsidR="00A1029A" w:rsidRPr="51FC8B29">
        <w:t xml:space="preserve"> </w:t>
      </w:r>
      <w:r w:rsidR="00D10528" w:rsidRPr="51FC8B29">
        <w:t xml:space="preserve">on mitigation measures for nitrates. </w:t>
      </w:r>
      <w:r w:rsidR="00606D1C">
        <w:t>These are now provided for</w:t>
      </w:r>
      <w:r w:rsidR="005D26B6">
        <w:t xml:space="preserve"> through planning conditions and the purchase of credits. </w:t>
      </w:r>
      <w:r w:rsidR="00D10528" w:rsidRPr="51FC8B29">
        <w:t xml:space="preserve">This ensures that new development across the borough does not add to existing high levels of nitrates in the Solent which has a detrimental impact on protected habitats and species. </w:t>
      </w:r>
      <w:bookmarkStart w:id="56" w:name="_Toc61851463"/>
      <w:bookmarkStart w:id="57" w:name="_Toc62139452"/>
      <w:bookmarkStart w:id="58" w:name="_Hlk61432971"/>
    </w:p>
    <w:p w14:paraId="6042EE9B" w14:textId="77777777" w:rsidR="00D10528" w:rsidRDefault="00D10528" w:rsidP="00353607">
      <w:pPr>
        <w:pStyle w:val="Style2"/>
        <w:spacing w:after="0"/>
        <w:rPr>
          <w:sz w:val="24"/>
          <w:szCs w:val="24"/>
        </w:rPr>
      </w:pPr>
    </w:p>
    <w:p w14:paraId="62ABE99F" w14:textId="72A7DA9D" w:rsidR="00F6512D" w:rsidRPr="007A079F" w:rsidRDefault="00D04B43" w:rsidP="00353607">
      <w:pPr>
        <w:pStyle w:val="Style2"/>
        <w:spacing w:after="0"/>
        <w:rPr>
          <w:sz w:val="24"/>
          <w:szCs w:val="24"/>
        </w:rPr>
      </w:pPr>
      <w:bookmarkStart w:id="59" w:name="_Toc179280793"/>
      <w:r w:rsidRPr="2934EBA0">
        <w:rPr>
          <w:sz w:val="24"/>
          <w:szCs w:val="24"/>
        </w:rPr>
        <w:t xml:space="preserve">Summary of </w:t>
      </w:r>
      <w:r w:rsidR="00DD69E5" w:rsidRPr="2934EBA0">
        <w:rPr>
          <w:sz w:val="24"/>
          <w:szCs w:val="24"/>
        </w:rPr>
        <w:t>Planning Obligations</w:t>
      </w:r>
      <w:r w:rsidR="003766A3" w:rsidRPr="2934EBA0">
        <w:rPr>
          <w:sz w:val="24"/>
          <w:szCs w:val="24"/>
        </w:rPr>
        <w:t xml:space="preserve"> Entered into</w:t>
      </w:r>
      <w:r w:rsidR="00F6512D" w:rsidRPr="2934EBA0">
        <w:rPr>
          <w:sz w:val="24"/>
          <w:szCs w:val="24"/>
        </w:rPr>
        <w:t xml:space="preserve"> </w:t>
      </w:r>
      <w:r w:rsidR="007829B2" w:rsidRPr="2934EBA0">
        <w:rPr>
          <w:sz w:val="24"/>
          <w:szCs w:val="24"/>
        </w:rPr>
        <w:t xml:space="preserve">in 2023/34 </w:t>
      </w:r>
      <w:r w:rsidR="00F6512D" w:rsidRPr="2934EBA0">
        <w:rPr>
          <w:sz w:val="24"/>
          <w:szCs w:val="24"/>
        </w:rPr>
        <w:t xml:space="preserve">to be Provided </w:t>
      </w:r>
      <w:r w:rsidR="006F72FB" w:rsidRPr="2934EBA0">
        <w:rPr>
          <w:sz w:val="24"/>
          <w:szCs w:val="24"/>
        </w:rPr>
        <w:t xml:space="preserve">for </w:t>
      </w:r>
      <w:r w:rsidR="00F6512D" w:rsidRPr="2934EBA0">
        <w:rPr>
          <w:sz w:val="24"/>
          <w:szCs w:val="24"/>
        </w:rPr>
        <w:t>Directly by Developers</w:t>
      </w:r>
      <w:bookmarkEnd w:id="56"/>
      <w:bookmarkEnd w:id="57"/>
      <w:bookmarkEnd w:id="59"/>
      <w:r w:rsidR="00F6512D" w:rsidRPr="2934EBA0">
        <w:rPr>
          <w:sz w:val="24"/>
          <w:szCs w:val="24"/>
        </w:rPr>
        <w:t xml:space="preserve"> </w:t>
      </w:r>
    </w:p>
    <w:p w14:paraId="2C4B7405" w14:textId="77777777" w:rsidR="00353607" w:rsidRPr="007A079F" w:rsidRDefault="00353607" w:rsidP="00353607">
      <w:pPr>
        <w:pStyle w:val="Style2"/>
        <w:spacing w:after="0"/>
        <w:rPr>
          <w:sz w:val="24"/>
          <w:szCs w:val="24"/>
        </w:rPr>
      </w:pPr>
    </w:p>
    <w:bookmarkEnd w:id="58"/>
    <w:p w14:paraId="795CF9FD" w14:textId="6C080277" w:rsidR="00DD69E5" w:rsidRDefault="003661EB" w:rsidP="007A00F7">
      <w:pPr>
        <w:pStyle w:val="ListParagraph"/>
        <w:numPr>
          <w:ilvl w:val="1"/>
          <w:numId w:val="73"/>
        </w:numPr>
      </w:pPr>
      <w:r>
        <w:t xml:space="preserve"> </w:t>
      </w:r>
      <w:r w:rsidR="00DD69E5" w:rsidRPr="00EB1813">
        <w:t xml:space="preserve">As </w:t>
      </w:r>
      <w:r w:rsidR="00DD69E5" w:rsidRPr="001F0E6D">
        <w:t xml:space="preserve">well as providing funding for the Council or its partners to provide </w:t>
      </w:r>
      <w:r w:rsidR="003403C8">
        <w:t xml:space="preserve"> </w:t>
      </w:r>
      <w:r w:rsidR="00DD69E5" w:rsidRPr="001F0E6D">
        <w:t xml:space="preserve">infrastructure that is needed to support or make a development acceptable in planning terms whether this be through a S106 agreement, upfront payment or unilateral undertaking, developers can also provide this directly themselves as part of a development.  This can be provided for both on and off-site. Whilst this does not </w:t>
      </w:r>
      <w:r w:rsidR="00F6512D" w:rsidRPr="001F0E6D">
        <w:t xml:space="preserve">involve </w:t>
      </w:r>
      <w:r w:rsidR="00DD69E5" w:rsidRPr="001F0E6D">
        <w:t xml:space="preserve">a financial payment to the Council or to any other partner organisation, this will still result in </w:t>
      </w:r>
      <w:r w:rsidR="00297394" w:rsidRPr="001F0E6D">
        <w:t xml:space="preserve">financial </w:t>
      </w:r>
      <w:r w:rsidR="00DD69E5" w:rsidRPr="001F0E6D">
        <w:t>costs for developer</w:t>
      </w:r>
      <w:r w:rsidR="00297394" w:rsidRPr="001F0E6D">
        <w:t>s to factor into their viability margins</w:t>
      </w:r>
      <w:r w:rsidR="00DD69E5" w:rsidRPr="001F0E6D">
        <w:t xml:space="preserve">. </w:t>
      </w:r>
    </w:p>
    <w:p w14:paraId="53EF937E" w14:textId="010653DD" w:rsidR="001F0E6D" w:rsidRDefault="001F0E6D" w:rsidP="001F0E6D">
      <w:pPr>
        <w:pStyle w:val="ListParagraph"/>
        <w:ind w:left="0"/>
      </w:pPr>
    </w:p>
    <w:p w14:paraId="4BA5BC44" w14:textId="412898DD" w:rsidR="001F0E6D" w:rsidRPr="001F0E6D" w:rsidRDefault="001F0E6D" w:rsidP="001F0E6D">
      <w:pPr>
        <w:pStyle w:val="ListParagraph"/>
        <w:ind w:left="0"/>
        <w:rPr>
          <w:u w:val="single"/>
        </w:rPr>
      </w:pPr>
      <w:r w:rsidRPr="2934EBA0">
        <w:rPr>
          <w:u w:val="single"/>
        </w:rPr>
        <w:t>Affordable Housing S106 Agreements Entered into in 2</w:t>
      </w:r>
      <w:r w:rsidR="001419CA" w:rsidRPr="2934EBA0">
        <w:rPr>
          <w:u w:val="single"/>
        </w:rPr>
        <w:t>0</w:t>
      </w:r>
      <w:r w:rsidR="00F80CBF" w:rsidRPr="2934EBA0">
        <w:rPr>
          <w:u w:val="single"/>
        </w:rPr>
        <w:t>23/24</w:t>
      </w:r>
    </w:p>
    <w:p w14:paraId="6ACBF037" w14:textId="77777777" w:rsidR="001F0E6D" w:rsidRDefault="001F0E6D" w:rsidP="00F20A58">
      <w:pPr>
        <w:pStyle w:val="ListParagraph"/>
        <w:ind w:left="0"/>
      </w:pPr>
    </w:p>
    <w:p w14:paraId="38332583" w14:textId="4554285B" w:rsidR="004214F3" w:rsidRPr="004214F3" w:rsidRDefault="001F0E6D" w:rsidP="004214F3">
      <w:pPr>
        <w:pStyle w:val="ListParagraph"/>
        <w:numPr>
          <w:ilvl w:val="1"/>
          <w:numId w:val="73"/>
        </w:numPr>
        <w:rPr>
          <w:u w:val="single"/>
        </w:rPr>
      </w:pPr>
      <w:r w:rsidRPr="00B71D8D">
        <w:t xml:space="preserve">Developers </w:t>
      </w:r>
      <w:r w:rsidR="003661EB">
        <w:t xml:space="preserve">did not agree any </w:t>
      </w:r>
      <w:r w:rsidRPr="003661EB">
        <w:t>afforda</w:t>
      </w:r>
      <w:r w:rsidRPr="00B71D8D">
        <w:t>ble housing units through</w:t>
      </w:r>
      <w:r>
        <w:t xml:space="preserve"> </w:t>
      </w:r>
      <w:r w:rsidRPr="00575A97">
        <w:t>planning obligations in 20</w:t>
      </w:r>
      <w:r w:rsidR="00F80CBF">
        <w:t>23/24</w:t>
      </w:r>
      <w:r w:rsidR="003661EB">
        <w:t>.</w:t>
      </w:r>
      <w:r w:rsidR="00C438E2" w:rsidRPr="00575A97">
        <w:t xml:space="preserve"> </w:t>
      </w:r>
    </w:p>
    <w:p w14:paraId="48881DC4" w14:textId="3A347379" w:rsidR="00D04B43" w:rsidRPr="00A16CD8" w:rsidRDefault="00D04B43" w:rsidP="00A16CD8">
      <w:pPr>
        <w:rPr>
          <w:u w:val="single"/>
        </w:rPr>
      </w:pPr>
      <w:r w:rsidRPr="2934EBA0">
        <w:rPr>
          <w:u w:val="single"/>
        </w:rPr>
        <w:t xml:space="preserve">Public Open Space and Children’s Play Areas </w:t>
      </w:r>
      <w:r w:rsidR="00076EE0" w:rsidRPr="2934EBA0">
        <w:rPr>
          <w:u w:val="single"/>
        </w:rPr>
        <w:t>S106 Agreements Entered into in</w:t>
      </w:r>
      <w:r w:rsidRPr="2934EBA0">
        <w:rPr>
          <w:u w:val="single"/>
        </w:rPr>
        <w:t xml:space="preserve"> 20</w:t>
      </w:r>
      <w:r w:rsidR="00F80CBF" w:rsidRPr="2934EBA0">
        <w:rPr>
          <w:u w:val="single"/>
        </w:rPr>
        <w:t>23/24</w:t>
      </w:r>
      <w:r w:rsidRPr="2934EBA0">
        <w:rPr>
          <w:u w:val="single"/>
        </w:rPr>
        <w:t xml:space="preserve"> </w:t>
      </w:r>
    </w:p>
    <w:p w14:paraId="5F37C5D9" w14:textId="66ED8A31" w:rsidR="00A75101" w:rsidRPr="007A00F7" w:rsidRDefault="605C39DE" w:rsidP="007A00F7">
      <w:pPr>
        <w:rPr>
          <w:strike/>
        </w:rPr>
      </w:pPr>
      <w:r w:rsidRPr="2934EBA0">
        <w:t xml:space="preserve">3.18 </w:t>
      </w:r>
      <w:r w:rsidR="00A16CD8">
        <w:t xml:space="preserve">There </w:t>
      </w:r>
      <w:r w:rsidR="004930F1">
        <w:t xml:space="preserve">was no </w:t>
      </w:r>
      <w:r w:rsidR="00D04B43">
        <w:t>public open space</w:t>
      </w:r>
      <w:r w:rsidR="004930F1">
        <w:t xml:space="preserve"> or play</w:t>
      </w:r>
      <w:r w:rsidR="00D04B43">
        <w:t xml:space="preserve"> </w:t>
      </w:r>
      <w:r w:rsidR="004930F1">
        <w:t xml:space="preserve">provision </w:t>
      </w:r>
      <w:r w:rsidR="00D04B43">
        <w:t>through planning obligations in 20</w:t>
      </w:r>
      <w:r w:rsidR="00F80CBF">
        <w:t>23/24</w:t>
      </w:r>
      <w:r w:rsidR="00D04B43">
        <w:t xml:space="preserve">. </w:t>
      </w:r>
    </w:p>
    <w:p w14:paraId="3A39DF63" w14:textId="17387FD6" w:rsidR="00D04B43" w:rsidRPr="00BA4B78" w:rsidRDefault="00D60D6B" w:rsidP="00E62441">
      <w:pPr>
        <w:pStyle w:val="Style2"/>
        <w:rPr>
          <w:sz w:val="24"/>
          <w:szCs w:val="24"/>
        </w:rPr>
      </w:pPr>
      <w:bookmarkStart w:id="60" w:name="_Toc61851464"/>
      <w:bookmarkStart w:id="61" w:name="_Toc62139453"/>
      <w:bookmarkStart w:id="62" w:name="_Toc179280794"/>
      <w:r w:rsidRPr="2934EBA0">
        <w:rPr>
          <w:sz w:val="24"/>
          <w:szCs w:val="24"/>
        </w:rPr>
        <w:t xml:space="preserve">Summary of </w:t>
      </w:r>
      <w:r w:rsidR="003B5888" w:rsidRPr="2934EBA0">
        <w:rPr>
          <w:sz w:val="24"/>
          <w:szCs w:val="24"/>
        </w:rPr>
        <w:t xml:space="preserve"> </w:t>
      </w:r>
      <w:r w:rsidR="00D04B43" w:rsidRPr="2934EBA0">
        <w:rPr>
          <w:sz w:val="24"/>
          <w:szCs w:val="24"/>
        </w:rPr>
        <w:t xml:space="preserve">Financial Contributions Received </w:t>
      </w:r>
      <w:r w:rsidR="003766A3" w:rsidRPr="2934EBA0">
        <w:rPr>
          <w:sz w:val="24"/>
          <w:szCs w:val="24"/>
        </w:rPr>
        <w:t xml:space="preserve">in </w:t>
      </w:r>
      <w:r w:rsidR="00D04B43" w:rsidRPr="2934EBA0">
        <w:rPr>
          <w:sz w:val="24"/>
          <w:szCs w:val="24"/>
        </w:rPr>
        <w:t>20</w:t>
      </w:r>
      <w:bookmarkEnd w:id="60"/>
      <w:bookmarkEnd w:id="61"/>
      <w:r w:rsidR="00F80CBF" w:rsidRPr="2934EBA0">
        <w:rPr>
          <w:sz w:val="24"/>
          <w:szCs w:val="24"/>
        </w:rPr>
        <w:t>23/24</w:t>
      </w:r>
      <w:bookmarkEnd w:id="62"/>
    </w:p>
    <w:p w14:paraId="0F5D3DA1" w14:textId="4D0ED1B6" w:rsidR="00297394" w:rsidRDefault="001A1596" w:rsidP="00256AE7">
      <w:pPr>
        <w:spacing w:after="0"/>
        <w:ind w:left="720" w:hanging="720"/>
      </w:pPr>
      <w:r>
        <w:t>3.1</w:t>
      </w:r>
      <w:r w:rsidR="00B43374">
        <w:t>9</w:t>
      </w:r>
      <w:r>
        <w:t xml:space="preserve">  </w:t>
      </w:r>
      <w:r w:rsidR="00B43374">
        <w:t xml:space="preserve"> </w:t>
      </w:r>
      <w:r w:rsidR="00BE31A0">
        <w:t>The totals of financial contributions received and their breakdown</w:t>
      </w:r>
      <w:r w:rsidR="003701D1">
        <w:t xml:space="preserve"> are detailed</w:t>
      </w:r>
      <w:r>
        <w:t xml:space="preserve"> </w:t>
      </w:r>
      <w:r w:rsidR="003701D1">
        <w:t>in Table</w:t>
      </w:r>
      <w:r w:rsidR="00236D34">
        <w:t>s 2 and 3 above.</w:t>
      </w:r>
    </w:p>
    <w:p w14:paraId="42B52F00" w14:textId="77777777" w:rsidR="00B55DB6" w:rsidRDefault="00B55DB6" w:rsidP="00CF257D">
      <w:pPr>
        <w:spacing w:after="0"/>
        <w:rPr>
          <w:b/>
          <w:bCs/>
        </w:rPr>
      </w:pPr>
    </w:p>
    <w:p w14:paraId="572B9BA2" w14:textId="1CC86ABF" w:rsidR="00CF257D" w:rsidRPr="007A00F7" w:rsidRDefault="002743AF" w:rsidP="007A00F7">
      <w:pPr>
        <w:pStyle w:val="Style3"/>
      </w:pPr>
      <w:r w:rsidRPr="00D464EC">
        <w:t xml:space="preserve">Table </w:t>
      </w:r>
      <w:r w:rsidR="00FD5E0E">
        <w:t>4</w:t>
      </w:r>
      <w:r w:rsidR="00D464EC">
        <w:t>:</w:t>
      </w:r>
      <w:r w:rsidRPr="00D464EC">
        <w:t xml:space="preserve"> </w:t>
      </w:r>
      <w:r w:rsidR="00C24B37" w:rsidRPr="00D464EC">
        <w:t xml:space="preserve">Top </w:t>
      </w:r>
      <w:r w:rsidR="00976252">
        <w:t>Three</w:t>
      </w:r>
      <w:r w:rsidR="00C24B37" w:rsidRPr="00976252">
        <w:t xml:space="preserve"> </w:t>
      </w:r>
      <w:r w:rsidR="00C24B37" w:rsidRPr="00D464EC">
        <w:t>Developments Resulting in the Greatest Sum of Financial Contributions Paid to the Council for Key Infrastructure Provision – 20</w:t>
      </w:r>
      <w:r w:rsidR="00F80CBF" w:rsidRPr="00D464EC">
        <w:t>23/24</w:t>
      </w:r>
    </w:p>
    <w:tbl>
      <w:tblPr>
        <w:tblStyle w:val="TableGrid"/>
        <w:tblW w:w="0" w:type="auto"/>
        <w:tblLook w:val="04A0" w:firstRow="1" w:lastRow="0" w:firstColumn="1" w:lastColumn="0" w:noHBand="0" w:noVBand="1"/>
      </w:tblPr>
      <w:tblGrid>
        <w:gridCol w:w="9016"/>
      </w:tblGrid>
      <w:tr w:rsidR="00484B35" w14:paraId="47A45C0C" w14:textId="77777777" w:rsidTr="00484B35">
        <w:tc>
          <w:tcPr>
            <w:tcW w:w="9016" w:type="dxa"/>
          </w:tcPr>
          <w:p w14:paraId="307D086B" w14:textId="77777777" w:rsidR="00484B35" w:rsidRPr="007A00F7" w:rsidRDefault="00484B35" w:rsidP="00CF257D">
            <w:pPr>
              <w:rPr>
                <w:b/>
                <w:bCs/>
              </w:rPr>
            </w:pPr>
            <w:r w:rsidRPr="007A00F7">
              <w:rPr>
                <w:b/>
                <w:bCs/>
              </w:rPr>
              <w:t>Application Reference: F/19/84937</w:t>
            </w:r>
            <w:r w:rsidR="009878F5" w:rsidRPr="007A00F7">
              <w:rPr>
                <w:b/>
                <w:bCs/>
              </w:rPr>
              <w:t xml:space="preserve"> </w:t>
            </w:r>
            <w:r w:rsidR="00685E73" w:rsidRPr="007A00F7">
              <w:rPr>
                <w:b/>
                <w:bCs/>
              </w:rPr>
              <w:t>–</w:t>
            </w:r>
            <w:r w:rsidR="009878F5" w:rsidRPr="007A00F7">
              <w:rPr>
                <w:b/>
                <w:bCs/>
              </w:rPr>
              <w:t xml:space="preserve"> </w:t>
            </w:r>
            <w:r w:rsidR="00685E73" w:rsidRPr="007A00F7">
              <w:rPr>
                <w:b/>
                <w:bCs/>
              </w:rPr>
              <w:t xml:space="preserve">Land South of </w:t>
            </w:r>
            <w:proofErr w:type="spellStart"/>
            <w:r w:rsidR="00685E73" w:rsidRPr="007A00F7">
              <w:rPr>
                <w:b/>
                <w:bCs/>
              </w:rPr>
              <w:t>Maddoxford</w:t>
            </w:r>
            <w:proofErr w:type="spellEnd"/>
            <w:r w:rsidR="00685E73" w:rsidRPr="007A00F7">
              <w:rPr>
                <w:b/>
                <w:bCs/>
              </w:rPr>
              <w:t xml:space="preserve"> Lane, </w:t>
            </w:r>
            <w:proofErr w:type="spellStart"/>
            <w:r w:rsidR="00685E73" w:rsidRPr="007A00F7">
              <w:rPr>
                <w:b/>
                <w:bCs/>
              </w:rPr>
              <w:t>Boorley</w:t>
            </w:r>
            <w:proofErr w:type="spellEnd"/>
            <w:r w:rsidR="00685E73" w:rsidRPr="007A00F7">
              <w:rPr>
                <w:b/>
                <w:bCs/>
              </w:rPr>
              <w:t xml:space="preserve"> Green, Botley, Southampton, SO32 2DB</w:t>
            </w:r>
          </w:p>
          <w:p w14:paraId="55D9BEC2" w14:textId="77777777" w:rsidR="00445C5C" w:rsidRPr="00236D34" w:rsidRDefault="00445C5C" w:rsidP="00CF257D">
            <w:pPr>
              <w:rPr>
                <w:i/>
                <w:iCs/>
              </w:rPr>
            </w:pPr>
            <w:r w:rsidRPr="00236D34">
              <w:rPr>
                <w:i/>
                <w:iCs/>
              </w:rPr>
              <w:t xml:space="preserve">Demolition of an existing residential dwelling and associated farm buildings and construction of a residential development of 73 dwellings, associated landscaping, and amenity areas with access from </w:t>
            </w:r>
            <w:proofErr w:type="spellStart"/>
            <w:r w:rsidRPr="00236D34">
              <w:rPr>
                <w:i/>
                <w:iCs/>
              </w:rPr>
              <w:t>Maddoxford</w:t>
            </w:r>
            <w:proofErr w:type="spellEnd"/>
            <w:r w:rsidRPr="00236D34">
              <w:rPr>
                <w:i/>
                <w:iCs/>
              </w:rPr>
              <w:t xml:space="preserve"> Lane.</w:t>
            </w:r>
          </w:p>
          <w:p w14:paraId="0CD11FA9" w14:textId="77777777" w:rsidR="00654760" w:rsidRPr="00236D34" w:rsidRDefault="00654760" w:rsidP="00CF257D">
            <w:pPr>
              <w:rPr>
                <w:i/>
                <w:iCs/>
              </w:rPr>
            </w:pPr>
          </w:p>
          <w:p w14:paraId="061CEB4F" w14:textId="056A64EC" w:rsidR="00445C5C" w:rsidRPr="00236D34" w:rsidRDefault="006D6506" w:rsidP="00445C5C">
            <w:pPr>
              <w:pStyle w:val="ListParagraph"/>
              <w:numPr>
                <w:ilvl w:val="0"/>
                <w:numId w:val="65"/>
              </w:numPr>
            </w:pPr>
            <w:r w:rsidRPr="00236D34">
              <w:t xml:space="preserve">£97,259.40 for </w:t>
            </w:r>
            <w:r w:rsidR="00F5133E" w:rsidRPr="00236D34">
              <w:t>Community Infrastructure</w:t>
            </w:r>
          </w:p>
          <w:p w14:paraId="3DCE32E1" w14:textId="77777777" w:rsidR="00654760" w:rsidRPr="00236D34" w:rsidRDefault="00654760" w:rsidP="007A00F7">
            <w:pPr>
              <w:pStyle w:val="ListParagraph"/>
            </w:pPr>
          </w:p>
          <w:p w14:paraId="4B23F73F" w14:textId="4DD66B02" w:rsidR="00F5133E" w:rsidRPr="00236D34" w:rsidRDefault="006D6506" w:rsidP="00445C5C">
            <w:pPr>
              <w:pStyle w:val="ListParagraph"/>
              <w:numPr>
                <w:ilvl w:val="0"/>
                <w:numId w:val="65"/>
              </w:numPr>
            </w:pPr>
            <w:r w:rsidRPr="00236D34">
              <w:t xml:space="preserve">£13,184.58 for </w:t>
            </w:r>
            <w:r w:rsidR="00F5133E" w:rsidRPr="00236D34">
              <w:t>Healthcare</w:t>
            </w:r>
          </w:p>
          <w:p w14:paraId="6E8B053D" w14:textId="77777777" w:rsidR="00654760" w:rsidRPr="00236D34" w:rsidRDefault="00654760" w:rsidP="007A00F7">
            <w:pPr>
              <w:pStyle w:val="ListParagraph"/>
            </w:pPr>
          </w:p>
          <w:p w14:paraId="4B880F4F" w14:textId="22D9923F" w:rsidR="00F5133E" w:rsidRPr="00236D34" w:rsidRDefault="006D6506" w:rsidP="00445C5C">
            <w:pPr>
              <w:pStyle w:val="ListParagraph"/>
              <w:numPr>
                <w:ilvl w:val="0"/>
                <w:numId w:val="65"/>
              </w:numPr>
            </w:pPr>
            <w:r w:rsidRPr="00236D34">
              <w:t xml:space="preserve">£52,715.28 for </w:t>
            </w:r>
            <w:r w:rsidR="00F5133E" w:rsidRPr="00236D34">
              <w:t>Off-Site Open Space &amp; Play Area</w:t>
            </w:r>
            <w:r w:rsidR="00AF4ED7" w:rsidRPr="00236D34">
              <w:t xml:space="preserve"> Provision</w:t>
            </w:r>
          </w:p>
          <w:p w14:paraId="3CA71A82" w14:textId="77777777" w:rsidR="00654760" w:rsidRPr="00236D34" w:rsidRDefault="00654760" w:rsidP="007A00F7">
            <w:pPr>
              <w:pStyle w:val="ListParagraph"/>
            </w:pPr>
          </w:p>
          <w:p w14:paraId="719D1F04" w14:textId="33520D2C" w:rsidR="00AF4ED7" w:rsidRPr="00236D34" w:rsidRDefault="006D6506" w:rsidP="00445C5C">
            <w:pPr>
              <w:pStyle w:val="ListParagraph"/>
              <w:numPr>
                <w:ilvl w:val="0"/>
                <w:numId w:val="65"/>
              </w:numPr>
            </w:pPr>
            <w:r w:rsidRPr="00236D34">
              <w:t xml:space="preserve">£19,806.29 for </w:t>
            </w:r>
            <w:r w:rsidR="00AF4ED7" w:rsidRPr="00236D34">
              <w:t>Public Art</w:t>
            </w:r>
          </w:p>
          <w:p w14:paraId="003D7459" w14:textId="77777777" w:rsidR="00654760" w:rsidRPr="00236D34" w:rsidRDefault="00654760" w:rsidP="007A00F7">
            <w:pPr>
              <w:pStyle w:val="ListParagraph"/>
            </w:pPr>
          </w:p>
          <w:p w14:paraId="5AC37568" w14:textId="433987D7" w:rsidR="00AF4ED7" w:rsidRPr="00236D34" w:rsidRDefault="006D6506" w:rsidP="00445C5C">
            <w:pPr>
              <w:pStyle w:val="ListParagraph"/>
              <w:numPr>
                <w:ilvl w:val="0"/>
                <w:numId w:val="65"/>
              </w:numPr>
            </w:pPr>
            <w:r w:rsidRPr="00236D34">
              <w:t>£2,500</w:t>
            </w:r>
            <w:r w:rsidR="00654760" w:rsidRPr="00236D34">
              <w:t xml:space="preserve">.00 for </w:t>
            </w:r>
            <w:r w:rsidR="00AF4ED7" w:rsidRPr="00236D34">
              <w:t>S106 Monitoring</w:t>
            </w:r>
          </w:p>
          <w:p w14:paraId="2F3EE795" w14:textId="77777777" w:rsidR="00654760" w:rsidRPr="00236D34" w:rsidRDefault="00654760" w:rsidP="007A00F7">
            <w:pPr>
              <w:pStyle w:val="ListParagraph"/>
            </w:pPr>
          </w:p>
          <w:p w14:paraId="5C89920E" w14:textId="5989EC1B" w:rsidR="00AF4ED7" w:rsidRPr="00236D34" w:rsidRDefault="00654760" w:rsidP="00445C5C">
            <w:pPr>
              <w:pStyle w:val="ListParagraph"/>
              <w:numPr>
                <w:ilvl w:val="0"/>
                <w:numId w:val="65"/>
              </w:numPr>
            </w:pPr>
            <w:r w:rsidRPr="00236D34">
              <w:t xml:space="preserve">£50,459.22 for </w:t>
            </w:r>
            <w:r w:rsidR="00AF4ED7" w:rsidRPr="00236D34">
              <w:t>New Forest Mitigation</w:t>
            </w:r>
          </w:p>
          <w:p w14:paraId="3FCCDA01" w14:textId="77777777" w:rsidR="00654760" w:rsidRPr="00236D34" w:rsidRDefault="00654760" w:rsidP="007A00F7">
            <w:pPr>
              <w:pStyle w:val="ListParagraph"/>
            </w:pPr>
          </w:p>
          <w:p w14:paraId="2F0DCA79" w14:textId="77777777" w:rsidR="00AF4ED7" w:rsidRPr="00236D34" w:rsidRDefault="00654760" w:rsidP="00445C5C">
            <w:pPr>
              <w:pStyle w:val="ListParagraph"/>
              <w:numPr>
                <w:ilvl w:val="0"/>
                <w:numId w:val="65"/>
              </w:numPr>
            </w:pPr>
            <w:r w:rsidRPr="00236D34">
              <w:t xml:space="preserve">£205,954.21 for </w:t>
            </w:r>
            <w:r w:rsidR="00AF4ED7" w:rsidRPr="00236D34">
              <w:t>Nitrate Mitigation</w:t>
            </w:r>
          </w:p>
          <w:p w14:paraId="36FDF4C8" w14:textId="6E52C8AC" w:rsidR="00654760" w:rsidRPr="00445C5C" w:rsidRDefault="00654760" w:rsidP="007A00F7">
            <w:pPr>
              <w:pStyle w:val="ListParagraph"/>
              <w:rPr>
                <w:highlight w:val="yellow"/>
              </w:rPr>
            </w:pPr>
          </w:p>
        </w:tc>
      </w:tr>
      <w:tr w:rsidR="00484B35" w14:paraId="561A562F" w14:textId="77777777" w:rsidTr="00484B35">
        <w:tc>
          <w:tcPr>
            <w:tcW w:w="9016" w:type="dxa"/>
          </w:tcPr>
          <w:p w14:paraId="75471B95" w14:textId="77777777" w:rsidR="00484B35" w:rsidRPr="007A00F7" w:rsidRDefault="009878F5" w:rsidP="00CF257D">
            <w:pPr>
              <w:rPr>
                <w:b/>
                <w:bCs/>
              </w:rPr>
            </w:pPr>
            <w:r w:rsidRPr="007A00F7">
              <w:rPr>
                <w:b/>
                <w:bCs/>
              </w:rPr>
              <w:t xml:space="preserve">Application Reference: O/15/75953 </w:t>
            </w:r>
            <w:r w:rsidR="00E0278B" w:rsidRPr="007A00F7">
              <w:rPr>
                <w:b/>
                <w:bCs/>
              </w:rPr>
              <w:t>–</w:t>
            </w:r>
            <w:r w:rsidRPr="007A00F7">
              <w:rPr>
                <w:b/>
                <w:bCs/>
              </w:rPr>
              <w:t xml:space="preserve"> </w:t>
            </w:r>
            <w:proofErr w:type="spellStart"/>
            <w:r w:rsidR="00E0278B" w:rsidRPr="007A00F7">
              <w:rPr>
                <w:b/>
                <w:bCs/>
              </w:rPr>
              <w:t>Boorley</w:t>
            </w:r>
            <w:proofErr w:type="spellEnd"/>
            <w:r w:rsidR="00E0278B" w:rsidRPr="007A00F7">
              <w:rPr>
                <w:b/>
                <w:bCs/>
              </w:rPr>
              <w:t xml:space="preserve"> Green Cottage, 150 Winchester Street, Botley, SO30 2AA</w:t>
            </w:r>
          </w:p>
          <w:p w14:paraId="5E0F4F36" w14:textId="77777777" w:rsidR="00E0278B" w:rsidRPr="00F80FB9" w:rsidRDefault="005655F5" w:rsidP="00CF257D">
            <w:pPr>
              <w:rPr>
                <w:i/>
                <w:iCs/>
              </w:rPr>
            </w:pPr>
            <w:r w:rsidRPr="00F80FB9">
              <w:rPr>
                <w:i/>
                <w:iCs/>
              </w:rPr>
              <w:t>Outline application for up to 680 residential units, mixed use comprising of retail and/or community/healthcare use, land for two-form entry primary school, formal and informal open space and sports pitches. New access off Winchester Road, associated on-site roads, infrastructure and footpaths/cycleways. Detailed matters for determination access (all other matters reserved - scale, appearance, landscaping and layout). This application is the subject of an Environmental Impact Assessment, is a departure from the Development Plan, is Major Development and affects the setting of a Right of Way.</w:t>
            </w:r>
          </w:p>
          <w:p w14:paraId="70463FE8" w14:textId="77777777" w:rsidR="005655F5" w:rsidRPr="00F80FB9" w:rsidRDefault="005655F5" w:rsidP="00CF257D"/>
          <w:p w14:paraId="5E3FAB3D" w14:textId="5B8CB891" w:rsidR="005655F5" w:rsidRPr="00F80FB9" w:rsidRDefault="005655F5" w:rsidP="005655F5">
            <w:pPr>
              <w:pStyle w:val="ListParagraph"/>
              <w:numPr>
                <w:ilvl w:val="0"/>
                <w:numId w:val="66"/>
              </w:numPr>
            </w:pPr>
            <w:r w:rsidRPr="00F80FB9">
              <w:t>£42,246.02</w:t>
            </w:r>
            <w:r w:rsidR="00F75A6C" w:rsidRPr="00F80FB9">
              <w:t xml:space="preserve"> for Artificial Pitch</w:t>
            </w:r>
          </w:p>
          <w:p w14:paraId="2757DEA5" w14:textId="77777777" w:rsidR="00131439" w:rsidRPr="00F80FB9" w:rsidRDefault="00131439" w:rsidP="007A00F7">
            <w:pPr>
              <w:pStyle w:val="ListParagraph"/>
            </w:pPr>
          </w:p>
          <w:p w14:paraId="5E525F72" w14:textId="5B4CEC95" w:rsidR="005655F5" w:rsidRPr="00F80FB9" w:rsidRDefault="005655F5" w:rsidP="005655F5">
            <w:pPr>
              <w:pStyle w:val="ListParagraph"/>
              <w:numPr>
                <w:ilvl w:val="0"/>
                <w:numId w:val="66"/>
              </w:numPr>
            </w:pPr>
            <w:r w:rsidRPr="00F80FB9">
              <w:t>£107,681.52</w:t>
            </w:r>
            <w:r w:rsidR="00E50732" w:rsidRPr="00F80FB9">
              <w:t xml:space="preserve"> for</w:t>
            </w:r>
            <w:r w:rsidR="0065448A" w:rsidRPr="00F80FB9">
              <w:t xml:space="preserve"> Playing Field</w:t>
            </w:r>
          </w:p>
          <w:p w14:paraId="030D949F" w14:textId="77777777" w:rsidR="00131439" w:rsidRPr="00F80FB9" w:rsidRDefault="00131439" w:rsidP="007A00F7"/>
          <w:p w14:paraId="7C6155E7" w14:textId="6414F335" w:rsidR="005655F5" w:rsidRPr="00F80FB9" w:rsidRDefault="005655F5" w:rsidP="005655F5">
            <w:pPr>
              <w:pStyle w:val="ListParagraph"/>
              <w:numPr>
                <w:ilvl w:val="0"/>
                <w:numId w:val="66"/>
              </w:numPr>
            </w:pPr>
            <w:r w:rsidRPr="00F80FB9">
              <w:t>£</w:t>
            </w:r>
            <w:r w:rsidR="00131439" w:rsidRPr="00F80FB9">
              <w:t>165,550.91</w:t>
            </w:r>
            <w:r w:rsidR="00E50732" w:rsidRPr="00F80FB9">
              <w:t xml:space="preserve"> for </w:t>
            </w:r>
            <w:r w:rsidR="0065448A" w:rsidRPr="00F80FB9">
              <w:t>Public Art</w:t>
            </w:r>
          </w:p>
          <w:p w14:paraId="7FCF7B91" w14:textId="77777777" w:rsidR="00131439" w:rsidRPr="00F80FB9" w:rsidRDefault="00131439" w:rsidP="007A00F7">
            <w:pPr>
              <w:pStyle w:val="ListParagraph"/>
            </w:pPr>
          </w:p>
          <w:p w14:paraId="6BF7AA4B" w14:textId="165E5AE1" w:rsidR="00131439" w:rsidRPr="00F80FB9" w:rsidRDefault="00131439" w:rsidP="00004ED3">
            <w:pPr>
              <w:pStyle w:val="ListParagraph"/>
              <w:numPr>
                <w:ilvl w:val="0"/>
                <w:numId w:val="66"/>
              </w:numPr>
            </w:pPr>
            <w:r w:rsidRPr="00F80FB9">
              <w:t>£43,757.31</w:t>
            </w:r>
            <w:r w:rsidR="00004ED3" w:rsidRPr="00F80FB9">
              <w:t xml:space="preserve"> for Artific</w:t>
            </w:r>
            <w:r w:rsidR="00C27732" w:rsidRPr="00F80FB9">
              <w:t>i</w:t>
            </w:r>
            <w:r w:rsidR="00004ED3" w:rsidRPr="00F80FB9">
              <w:t>al Pitch</w:t>
            </w:r>
          </w:p>
          <w:p w14:paraId="54D434BA" w14:textId="77777777" w:rsidR="00131439" w:rsidRPr="00F80FB9" w:rsidRDefault="00131439" w:rsidP="007A00F7">
            <w:pPr>
              <w:pStyle w:val="ListParagraph"/>
            </w:pPr>
          </w:p>
          <w:p w14:paraId="0EEE1F4A" w14:textId="3BD599B1" w:rsidR="00131439" w:rsidRPr="00F80FB9" w:rsidRDefault="00131439" w:rsidP="005655F5">
            <w:pPr>
              <w:pStyle w:val="ListParagraph"/>
              <w:numPr>
                <w:ilvl w:val="0"/>
                <w:numId w:val="66"/>
              </w:numPr>
            </w:pPr>
            <w:r w:rsidRPr="00F80FB9">
              <w:t>£43,757.31</w:t>
            </w:r>
            <w:r w:rsidR="00004ED3" w:rsidRPr="00F80FB9">
              <w:t xml:space="preserve"> for Artificial Pitch</w:t>
            </w:r>
          </w:p>
          <w:p w14:paraId="067B17F5" w14:textId="77777777" w:rsidR="00131439" w:rsidRPr="00F80FB9" w:rsidRDefault="00131439" w:rsidP="007A00F7">
            <w:pPr>
              <w:pStyle w:val="ListParagraph"/>
            </w:pPr>
          </w:p>
          <w:p w14:paraId="4181CE9B" w14:textId="405693A3" w:rsidR="00131439" w:rsidRPr="00F80FB9" w:rsidRDefault="00131439" w:rsidP="005655F5">
            <w:pPr>
              <w:pStyle w:val="ListParagraph"/>
              <w:numPr>
                <w:ilvl w:val="0"/>
                <w:numId w:val="66"/>
              </w:numPr>
            </w:pPr>
            <w:r w:rsidRPr="00F80FB9">
              <w:t>£112,011.49</w:t>
            </w:r>
            <w:r w:rsidR="003525C3" w:rsidRPr="00F80FB9">
              <w:t xml:space="preserve"> for Playing Field</w:t>
            </w:r>
          </w:p>
          <w:p w14:paraId="076A009A" w14:textId="77777777" w:rsidR="00131439" w:rsidRPr="00F80FB9" w:rsidRDefault="00131439" w:rsidP="007A00F7"/>
          <w:p w14:paraId="13A8D24B" w14:textId="1E39C39A" w:rsidR="00131439" w:rsidRPr="00F80FB9" w:rsidRDefault="00131439" w:rsidP="005655F5">
            <w:pPr>
              <w:pStyle w:val="ListParagraph"/>
              <w:numPr>
                <w:ilvl w:val="0"/>
                <w:numId w:val="66"/>
              </w:numPr>
            </w:pPr>
            <w:r w:rsidRPr="00F80FB9">
              <w:t>£50,756.20</w:t>
            </w:r>
            <w:r w:rsidR="003525C3" w:rsidRPr="00F80FB9">
              <w:t xml:space="preserve"> for Public open Space, District Park</w:t>
            </w:r>
          </w:p>
          <w:p w14:paraId="4A064F61" w14:textId="77777777" w:rsidR="00131439" w:rsidRPr="00F80FB9" w:rsidRDefault="00131439" w:rsidP="007A00F7">
            <w:pPr>
              <w:pStyle w:val="ListParagraph"/>
            </w:pPr>
          </w:p>
          <w:p w14:paraId="1563D8D2" w14:textId="29221D85" w:rsidR="00131439" w:rsidRPr="00F80FB9" w:rsidRDefault="00131439" w:rsidP="005655F5">
            <w:pPr>
              <w:pStyle w:val="ListParagraph"/>
              <w:numPr>
                <w:ilvl w:val="0"/>
                <w:numId w:val="66"/>
              </w:numPr>
            </w:pPr>
            <w:r w:rsidRPr="00F80FB9">
              <w:t>£130,437.63</w:t>
            </w:r>
            <w:r w:rsidR="00A33DC2" w:rsidRPr="00F80FB9">
              <w:t xml:space="preserve"> for Playing Field</w:t>
            </w:r>
          </w:p>
          <w:p w14:paraId="076C0577" w14:textId="2ACA0038" w:rsidR="00131439" w:rsidRPr="00F80FB9" w:rsidRDefault="00131439" w:rsidP="007A00F7">
            <w:pPr>
              <w:pStyle w:val="ListParagraph"/>
            </w:pPr>
          </w:p>
        </w:tc>
      </w:tr>
      <w:tr w:rsidR="00484B35" w14:paraId="1CDD2C21" w14:textId="77777777" w:rsidTr="00484B35">
        <w:tc>
          <w:tcPr>
            <w:tcW w:w="9016" w:type="dxa"/>
          </w:tcPr>
          <w:p w14:paraId="2712AAC4" w14:textId="77777777" w:rsidR="009D4021" w:rsidRPr="007A00F7" w:rsidRDefault="009878F5" w:rsidP="00CF257D">
            <w:pPr>
              <w:rPr>
                <w:b/>
                <w:bCs/>
              </w:rPr>
            </w:pPr>
            <w:r w:rsidRPr="007A00F7">
              <w:rPr>
                <w:b/>
                <w:bCs/>
              </w:rPr>
              <w:t xml:space="preserve">Application Reference: F/19/85439 </w:t>
            </w:r>
            <w:r w:rsidR="000B4072" w:rsidRPr="007A00F7">
              <w:rPr>
                <w:b/>
                <w:bCs/>
              </w:rPr>
              <w:t>–</w:t>
            </w:r>
            <w:r w:rsidRPr="007A00F7">
              <w:rPr>
                <w:b/>
                <w:bCs/>
              </w:rPr>
              <w:t xml:space="preserve"> </w:t>
            </w:r>
            <w:r w:rsidR="000B4072" w:rsidRPr="007A00F7">
              <w:rPr>
                <w:b/>
                <w:bCs/>
              </w:rPr>
              <w:t xml:space="preserve">Land off Botley Road, Phase 2, West End, </w:t>
            </w:r>
            <w:r w:rsidR="009D4021" w:rsidRPr="007A00F7">
              <w:rPr>
                <w:b/>
                <w:bCs/>
              </w:rPr>
              <w:t>Southampton, SO30 3JR</w:t>
            </w:r>
          </w:p>
          <w:p w14:paraId="4C4B74B1" w14:textId="77777777" w:rsidR="009D4021" w:rsidRPr="007A00F7" w:rsidRDefault="005277E1" w:rsidP="005277E1">
            <w:pPr>
              <w:rPr>
                <w:i/>
                <w:iCs/>
              </w:rPr>
            </w:pPr>
            <w:r w:rsidRPr="007A00F7">
              <w:rPr>
                <w:i/>
                <w:iCs/>
              </w:rPr>
              <w:t>Residential development of 30 dwellings and associated landscaping following demolition of existing dwelling, stables and related structures.</w:t>
            </w:r>
          </w:p>
          <w:p w14:paraId="52DDEE6B" w14:textId="77777777" w:rsidR="005277E1" w:rsidRPr="00F80FB9" w:rsidRDefault="005277E1" w:rsidP="005277E1"/>
          <w:p w14:paraId="3630618B" w14:textId="3F9E3C76" w:rsidR="005277E1" w:rsidRPr="00F80FB9" w:rsidRDefault="00302193" w:rsidP="005277E1">
            <w:pPr>
              <w:pStyle w:val="ListParagraph"/>
              <w:numPr>
                <w:ilvl w:val="0"/>
                <w:numId w:val="67"/>
              </w:numPr>
            </w:pPr>
            <w:r w:rsidRPr="00F80FB9">
              <w:t>£35,981.55</w:t>
            </w:r>
            <w:r w:rsidR="00F53AD8" w:rsidRPr="00F80FB9">
              <w:t xml:space="preserve"> for Community Infrastructure</w:t>
            </w:r>
          </w:p>
          <w:p w14:paraId="0E4F7C7B" w14:textId="77777777" w:rsidR="00EA25EA" w:rsidRPr="00F80FB9" w:rsidRDefault="00EA25EA" w:rsidP="007A00F7">
            <w:pPr>
              <w:pStyle w:val="ListParagraph"/>
            </w:pPr>
          </w:p>
          <w:p w14:paraId="05FF350A" w14:textId="0F0E5EF5" w:rsidR="00302193" w:rsidRPr="00F80FB9" w:rsidRDefault="00302193" w:rsidP="005277E1">
            <w:pPr>
              <w:pStyle w:val="ListParagraph"/>
              <w:numPr>
                <w:ilvl w:val="0"/>
                <w:numId w:val="67"/>
              </w:numPr>
            </w:pPr>
            <w:r w:rsidRPr="00F80FB9">
              <w:t>£2,696.65</w:t>
            </w:r>
            <w:r w:rsidR="00F53AD8" w:rsidRPr="00F80FB9">
              <w:t xml:space="preserve"> for Health Infrastructure</w:t>
            </w:r>
          </w:p>
          <w:p w14:paraId="3825D6B6" w14:textId="77777777" w:rsidR="00EA25EA" w:rsidRPr="00F80FB9" w:rsidRDefault="00EA25EA" w:rsidP="007A00F7">
            <w:pPr>
              <w:pStyle w:val="ListParagraph"/>
            </w:pPr>
          </w:p>
          <w:p w14:paraId="15D8DA3B" w14:textId="0B28E8DD" w:rsidR="00302193" w:rsidRPr="00F80FB9" w:rsidRDefault="00302193" w:rsidP="005277E1">
            <w:pPr>
              <w:pStyle w:val="ListParagraph"/>
              <w:numPr>
                <w:ilvl w:val="0"/>
                <w:numId w:val="67"/>
              </w:numPr>
            </w:pPr>
            <w:r w:rsidRPr="00F80FB9">
              <w:t>£54,929.51</w:t>
            </w:r>
            <w:r w:rsidR="00F53AD8" w:rsidRPr="00F80FB9">
              <w:t xml:space="preserve"> for POS &amp; Play Provision</w:t>
            </w:r>
          </w:p>
          <w:p w14:paraId="120D8387" w14:textId="77777777" w:rsidR="00EA25EA" w:rsidRPr="00F80FB9" w:rsidRDefault="00EA25EA" w:rsidP="007A00F7">
            <w:pPr>
              <w:pStyle w:val="ListParagraph"/>
            </w:pPr>
          </w:p>
          <w:p w14:paraId="75C6A7B0" w14:textId="6BE25798" w:rsidR="00302193" w:rsidRPr="00F80FB9" w:rsidRDefault="00302193" w:rsidP="005277E1">
            <w:pPr>
              <w:pStyle w:val="ListParagraph"/>
              <w:numPr>
                <w:ilvl w:val="0"/>
                <w:numId w:val="67"/>
              </w:numPr>
            </w:pPr>
            <w:r w:rsidRPr="00F80FB9">
              <w:t>£8,050.94</w:t>
            </w:r>
            <w:r w:rsidR="00F53AD8" w:rsidRPr="00F80FB9">
              <w:t xml:space="preserve"> for Public Art</w:t>
            </w:r>
          </w:p>
          <w:p w14:paraId="79A1FEB6" w14:textId="77777777" w:rsidR="00EA25EA" w:rsidRPr="00F80FB9" w:rsidRDefault="00EA25EA" w:rsidP="007A00F7"/>
          <w:p w14:paraId="3C398C80" w14:textId="24EBB727" w:rsidR="00302193" w:rsidRPr="00F80FB9" w:rsidRDefault="00302193" w:rsidP="005277E1">
            <w:pPr>
              <w:pStyle w:val="ListParagraph"/>
              <w:numPr>
                <w:ilvl w:val="0"/>
                <w:numId w:val="67"/>
              </w:numPr>
            </w:pPr>
            <w:r w:rsidRPr="00F80FB9">
              <w:t>£4,696.20</w:t>
            </w:r>
            <w:r w:rsidR="00F53AD8" w:rsidRPr="00F80FB9">
              <w:t xml:space="preserve"> for </w:t>
            </w:r>
            <w:r w:rsidR="00C46B46" w:rsidRPr="00F80FB9">
              <w:t>Traffic Regulation Orders</w:t>
            </w:r>
          </w:p>
          <w:p w14:paraId="4259366E" w14:textId="77777777" w:rsidR="00EA25EA" w:rsidRPr="00F80FB9" w:rsidRDefault="00EA25EA" w:rsidP="007A00F7">
            <w:pPr>
              <w:pStyle w:val="ListParagraph"/>
            </w:pPr>
          </w:p>
          <w:p w14:paraId="4C654566" w14:textId="3F7EB86B" w:rsidR="00302193" w:rsidRPr="00F80FB9" w:rsidRDefault="00302193" w:rsidP="005277E1">
            <w:pPr>
              <w:pStyle w:val="ListParagraph"/>
              <w:numPr>
                <w:ilvl w:val="0"/>
                <w:numId w:val="67"/>
              </w:numPr>
            </w:pPr>
            <w:r w:rsidRPr="00F80FB9">
              <w:t>£35,981.55</w:t>
            </w:r>
            <w:r w:rsidR="00C46B46" w:rsidRPr="00F80FB9">
              <w:t xml:space="preserve"> for Community Infrastructure</w:t>
            </w:r>
          </w:p>
          <w:p w14:paraId="6BCE58E2" w14:textId="77777777" w:rsidR="00EA25EA" w:rsidRPr="00F80FB9" w:rsidRDefault="00EA25EA" w:rsidP="007A00F7"/>
          <w:p w14:paraId="6D785DC8" w14:textId="2DCCA7A1" w:rsidR="00302193" w:rsidRPr="00F80FB9" w:rsidRDefault="00302193" w:rsidP="005277E1">
            <w:pPr>
              <w:pStyle w:val="ListParagraph"/>
              <w:numPr>
                <w:ilvl w:val="0"/>
                <w:numId w:val="67"/>
              </w:numPr>
            </w:pPr>
            <w:r w:rsidRPr="00F80FB9">
              <w:t>£2,696.65</w:t>
            </w:r>
            <w:r w:rsidR="00C46B46" w:rsidRPr="00F80FB9">
              <w:t xml:space="preserve"> for Health Infrastructure</w:t>
            </w:r>
          </w:p>
          <w:p w14:paraId="33187B26" w14:textId="77777777" w:rsidR="00EA25EA" w:rsidRPr="00F80FB9" w:rsidRDefault="00EA25EA" w:rsidP="007A00F7"/>
          <w:p w14:paraId="019448A4" w14:textId="3245D8BE" w:rsidR="00302193" w:rsidRPr="00F80FB9" w:rsidRDefault="007B2C57" w:rsidP="005277E1">
            <w:pPr>
              <w:pStyle w:val="ListParagraph"/>
              <w:numPr>
                <w:ilvl w:val="0"/>
                <w:numId w:val="67"/>
              </w:numPr>
            </w:pPr>
            <w:r w:rsidRPr="00F80FB9">
              <w:t>£67,500.00</w:t>
            </w:r>
            <w:r w:rsidR="00EA25EA" w:rsidRPr="00F80FB9">
              <w:t xml:space="preserve"> for Nitrate Mitigation</w:t>
            </w:r>
          </w:p>
          <w:p w14:paraId="1DC76E75" w14:textId="77777777" w:rsidR="00EA25EA" w:rsidRPr="00F80FB9" w:rsidRDefault="00EA25EA" w:rsidP="007A00F7"/>
          <w:p w14:paraId="1652E5ED" w14:textId="6FCC8547" w:rsidR="007B2C57" w:rsidRPr="00F80FB9" w:rsidRDefault="007B2C57" w:rsidP="005277E1">
            <w:pPr>
              <w:pStyle w:val="ListParagraph"/>
              <w:numPr>
                <w:ilvl w:val="0"/>
                <w:numId w:val="67"/>
              </w:numPr>
            </w:pPr>
            <w:r w:rsidRPr="00F80FB9">
              <w:t>£54,929.51</w:t>
            </w:r>
            <w:r w:rsidR="00EA25EA" w:rsidRPr="00F80FB9">
              <w:t xml:space="preserve"> for POS &amp; Play Provision</w:t>
            </w:r>
          </w:p>
          <w:p w14:paraId="1BCEBAA7" w14:textId="77777777" w:rsidR="00EA25EA" w:rsidRPr="00F80FB9" w:rsidRDefault="00EA25EA" w:rsidP="007A00F7"/>
          <w:p w14:paraId="33EE4260" w14:textId="5385C686" w:rsidR="007B2C57" w:rsidRPr="00F80FB9" w:rsidRDefault="007B2C57" w:rsidP="005277E1">
            <w:pPr>
              <w:pStyle w:val="ListParagraph"/>
              <w:numPr>
                <w:ilvl w:val="0"/>
                <w:numId w:val="67"/>
              </w:numPr>
            </w:pPr>
            <w:r w:rsidRPr="00F80FB9">
              <w:t>£8,050.94</w:t>
            </w:r>
            <w:r w:rsidR="00EA25EA" w:rsidRPr="00F80FB9">
              <w:t xml:space="preserve"> for Public Art</w:t>
            </w:r>
          </w:p>
          <w:p w14:paraId="29DDBC55" w14:textId="77777777" w:rsidR="00EA25EA" w:rsidRPr="00F80FB9" w:rsidRDefault="00EA25EA" w:rsidP="007A00F7"/>
          <w:p w14:paraId="661ADF49" w14:textId="3F659D48" w:rsidR="007B2C57" w:rsidRPr="00F80FB9" w:rsidRDefault="007B2C57" w:rsidP="005277E1">
            <w:pPr>
              <w:pStyle w:val="ListParagraph"/>
              <w:numPr>
                <w:ilvl w:val="0"/>
                <w:numId w:val="67"/>
              </w:numPr>
            </w:pPr>
            <w:r w:rsidRPr="00F80FB9">
              <w:t>£4,696.20</w:t>
            </w:r>
            <w:r w:rsidR="00EA25EA" w:rsidRPr="00F80FB9">
              <w:t xml:space="preserve"> for Traffic Regulation Orders</w:t>
            </w:r>
          </w:p>
          <w:p w14:paraId="30EFE2BE" w14:textId="77777777" w:rsidR="00EA25EA" w:rsidRPr="00F80FB9" w:rsidRDefault="00EA25EA" w:rsidP="007A00F7"/>
          <w:p w14:paraId="3E7CF418" w14:textId="77777777" w:rsidR="007B2C57" w:rsidRPr="00F80FB9" w:rsidRDefault="007B2C57" w:rsidP="005277E1">
            <w:pPr>
              <w:pStyle w:val="ListParagraph"/>
              <w:numPr>
                <w:ilvl w:val="0"/>
                <w:numId w:val="67"/>
              </w:numPr>
            </w:pPr>
            <w:r w:rsidRPr="00F80FB9">
              <w:t>£67,500.00</w:t>
            </w:r>
            <w:r w:rsidR="00EA25EA" w:rsidRPr="00F80FB9">
              <w:t xml:space="preserve"> for Nitrate Mitigation</w:t>
            </w:r>
          </w:p>
          <w:p w14:paraId="4B692C81" w14:textId="4BFC4BC3" w:rsidR="00EA25EA" w:rsidRPr="00F80FB9" w:rsidRDefault="00EA25EA" w:rsidP="00EA25EA"/>
        </w:tc>
      </w:tr>
    </w:tbl>
    <w:p w14:paraId="3D5C7105" w14:textId="77777777" w:rsidR="00484B35" w:rsidRDefault="00484B35" w:rsidP="00CF257D">
      <w:pPr>
        <w:spacing w:after="0"/>
        <w:rPr>
          <w:highlight w:val="yellow"/>
        </w:rPr>
      </w:pPr>
    </w:p>
    <w:bookmarkEnd w:id="54"/>
    <w:p w14:paraId="234E5155" w14:textId="31926E08" w:rsidR="00F80FB9" w:rsidRPr="00471785" w:rsidRDefault="00EB18D6" w:rsidP="00F80FB9">
      <w:pPr>
        <w:jc w:val="both"/>
        <w:rPr>
          <w:u w:val="single"/>
        </w:rPr>
      </w:pPr>
      <w:r w:rsidRPr="2934EBA0">
        <w:rPr>
          <w:u w:val="single"/>
        </w:rPr>
        <w:t>Solent Recreation Management P</w:t>
      </w:r>
      <w:r w:rsidR="006C38F2" w:rsidRPr="2934EBA0">
        <w:rPr>
          <w:u w:val="single"/>
        </w:rPr>
        <w:t>artnership</w:t>
      </w:r>
      <w:r w:rsidRPr="2934EBA0">
        <w:rPr>
          <w:u w:val="single"/>
        </w:rPr>
        <w:t xml:space="preserve"> (SRMP) Contributions Received </w:t>
      </w:r>
      <w:r w:rsidR="0086543F" w:rsidRPr="2934EBA0">
        <w:rPr>
          <w:u w:val="single"/>
        </w:rPr>
        <w:t xml:space="preserve">in </w:t>
      </w:r>
      <w:r w:rsidRPr="2934EBA0">
        <w:rPr>
          <w:u w:val="single"/>
        </w:rPr>
        <w:t>20</w:t>
      </w:r>
      <w:r w:rsidR="00F80CBF" w:rsidRPr="2934EBA0">
        <w:rPr>
          <w:u w:val="single"/>
        </w:rPr>
        <w:t>23/24</w:t>
      </w:r>
      <w:bookmarkStart w:id="63" w:name="_Hlk59037712"/>
    </w:p>
    <w:p w14:paraId="09275AEC" w14:textId="2801AFDE" w:rsidR="001F0E6D" w:rsidRPr="00F80FB9" w:rsidRDefault="00B43374" w:rsidP="008D1000">
      <w:pPr>
        <w:ind w:left="720" w:hanging="720"/>
        <w:rPr>
          <w:u w:val="single"/>
        </w:rPr>
      </w:pPr>
      <w:r>
        <w:t>3.20</w:t>
      </w:r>
      <w:r w:rsidR="00F80FB9">
        <w:tab/>
      </w:r>
      <w:r w:rsidR="001F0E6D">
        <w:t xml:space="preserve">The Council received a total </w:t>
      </w:r>
      <w:r w:rsidR="001F0E6D" w:rsidRPr="00F80FB9">
        <w:t xml:space="preserve">of </w:t>
      </w:r>
      <w:r w:rsidR="00992D58" w:rsidRPr="00F80FB9">
        <w:t>£214,431.97</w:t>
      </w:r>
      <w:r w:rsidR="00C66AF6" w:rsidRPr="00F80FB9">
        <w:rPr>
          <w:b/>
          <w:bCs/>
        </w:rPr>
        <w:t xml:space="preserve"> </w:t>
      </w:r>
      <w:r w:rsidR="001F0E6D">
        <w:t xml:space="preserve">from developments within 5.6km of the </w:t>
      </w:r>
      <w:r w:rsidR="001F0E6D" w:rsidRPr="00AB2AA3">
        <w:t>coast for the Solent Habitat mitigation measures over the course of 20</w:t>
      </w:r>
      <w:r w:rsidR="00F80CBF">
        <w:t>23/24</w:t>
      </w:r>
      <w:r w:rsidR="006F08CF" w:rsidRPr="00AB2AA3">
        <w:t xml:space="preserve">. </w:t>
      </w:r>
    </w:p>
    <w:p w14:paraId="594A8C47" w14:textId="3A4901CE" w:rsidR="001F0E6D" w:rsidRDefault="001F0E6D" w:rsidP="00696F44">
      <w:pPr>
        <w:pStyle w:val="ListParagraph"/>
        <w:spacing w:after="0"/>
        <w:ind w:left="0"/>
      </w:pPr>
    </w:p>
    <w:bookmarkEnd w:id="63"/>
    <w:p w14:paraId="429F9BEB" w14:textId="4173E641" w:rsidR="00B94BC9" w:rsidRPr="00471785" w:rsidRDefault="00B94BC9">
      <w:pPr>
        <w:tabs>
          <w:tab w:val="left" w:pos="11199"/>
        </w:tabs>
        <w:rPr>
          <w:u w:val="single"/>
        </w:rPr>
      </w:pPr>
      <w:r w:rsidRPr="2934EBA0">
        <w:rPr>
          <w:u w:val="single"/>
        </w:rPr>
        <w:t>Solent Recreational Mitigation Partnership – Contributions Spent 20</w:t>
      </w:r>
      <w:r w:rsidR="00F80CBF" w:rsidRPr="2934EBA0">
        <w:rPr>
          <w:u w:val="single"/>
        </w:rPr>
        <w:t>23/24</w:t>
      </w:r>
    </w:p>
    <w:p w14:paraId="57DD0782" w14:textId="62DDBD31" w:rsidR="00A77BE5" w:rsidRPr="00834606" w:rsidRDefault="00256AE7" w:rsidP="00256AE7">
      <w:pPr>
        <w:pStyle w:val="ListParagraph"/>
        <w:tabs>
          <w:tab w:val="left" w:pos="567"/>
          <w:tab w:val="left" w:pos="11199"/>
        </w:tabs>
        <w:ind w:left="567" w:hanging="1276"/>
      </w:pPr>
      <w:r>
        <w:t xml:space="preserve">           </w:t>
      </w:r>
      <w:r w:rsidR="00B43374">
        <w:t>3.21</w:t>
      </w:r>
      <w:r w:rsidR="008D1000">
        <w:t xml:space="preserve">  </w:t>
      </w:r>
      <w:r w:rsidR="00095C36">
        <w:t xml:space="preserve">The </w:t>
      </w:r>
      <w:r w:rsidR="00B94BC9">
        <w:t xml:space="preserve">Solent Recreation Mitigation Partnership </w:t>
      </w:r>
      <w:r w:rsidR="00B94BC9" w:rsidRPr="008D1000">
        <w:t xml:space="preserve">spent  </w:t>
      </w:r>
      <w:r w:rsidR="00045537" w:rsidRPr="008D1000">
        <w:t>£</w:t>
      </w:r>
      <w:r w:rsidR="00AE08B1" w:rsidRPr="008D1000">
        <w:t>501,712</w:t>
      </w:r>
      <w:r w:rsidR="00AE08B1">
        <w:rPr>
          <w:b/>
          <w:bCs/>
        </w:rPr>
        <w:t xml:space="preserve"> </w:t>
      </w:r>
      <w:r w:rsidR="00B94BC9">
        <w:t>over the course of 20</w:t>
      </w:r>
      <w:r w:rsidR="00236CDA">
        <w:t>23/24</w:t>
      </w:r>
      <w:r w:rsidR="00B94BC9">
        <w:t xml:space="preserve"> on mitigation measures identified in the Bird Aware Solent Strategy. </w:t>
      </w:r>
      <w:r w:rsidR="00B36561">
        <w:t xml:space="preserve">Contributions from each of the member local authorities have helped to fund a team of full-time and seasonal rangers, a Dog Initiatives Support Officer, monitoring, information, marketing and communications and a Partnership Coordination post. Some of this funding will be spent across the Borough. </w:t>
      </w:r>
      <w:r w:rsidR="00B36561" w:rsidRPr="009F3F63">
        <w:t xml:space="preserve">For example, Bird Aware are working in partnership with the River Hamble Harbour Authority and Natural England on new signage to try and reduce bird </w:t>
      </w:r>
      <w:r w:rsidR="00B36561" w:rsidRPr="00834606">
        <w:t>disturbance from paddle sports on the River Hamble.</w:t>
      </w:r>
    </w:p>
    <w:p w14:paraId="05DCB234" w14:textId="473BAB0C" w:rsidR="00962AD6" w:rsidRDefault="00B36561" w:rsidP="00C93732">
      <w:pPr>
        <w:pStyle w:val="Style2"/>
        <w:rPr>
          <w:sz w:val="24"/>
          <w:szCs w:val="24"/>
        </w:rPr>
      </w:pPr>
      <w:bookmarkStart w:id="64" w:name="_Toc179280795"/>
      <w:bookmarkStart w:id="65" w:name="_Toc61851467"/>
      <w:bookmarkStart w:id="66" w:name="_Toc62139456"/>
      <w:bookmarkStart w:id="67" w:name="_Hlk61457474"/>
      <w:r w:rsidRPr="2934EBA0">
        <w:rPr>
          <w:sz w:val="24"/>
          <w:szCs w:val="24"/>
        </w:rPr>
        <w:t xml:space="preserve">Developer Contributions Returned to Developers in </w:t>
      </w:r>
      <w:bookmarkEnd w:id="64"/>
      <w:r w:rsidR="00834606" w:rsidRPr="2934EBA0">
        <w:rPr>
          <w:sz w:val="24"/>
          <w:szCs w:val="24"/>
        </w:rPr>
        <w:t xml:space="preserve"> 202324</w:t>
      </w:r>
    </w:p>
    <w:p w14:paraId="6C88E249" w14:textId="280A1A9C" w:rsidR="00B36561" w:rsidRPr="00343EC6" w:rsidRDefault="00B43374" w:rsidP="007A00F7">
      <w:r>
        <w:t>3.22</w:t>
      </w:r>
      <w:r w:rsidR="00834606">
        <w:t xml:space="preserve"> </w:t>
      </w:r>
      <w:r w:rsidR="00877210">
        <w:t xml:space="preserve"> </w:t>
      </w:r>
      <w:r w:rsidR="00834606">
        <w:t>No refund</w:t>
      </w:r>
      <w:r w:rsidR="009F3F63">
        <w:t xml:space="preserve">s were made </w:t>
      </w:r>
      <w:r w:rsidR="00834606">
        <w:t>in FY2324</w:t>
      </w:r>
    </w:p>
    <w:p w14:paraId="03EB8E63" w14:textId="36C48D01" w:rsidR="00B36561" w:rsidRDefault="00B36561" w:rsidP="00C93732">
      <w:pPr>
        <w:pStyle w:val="Style2"/>
        <w:rPr>
          <w:sz w:val="24"/>
          <w:szCs w:val="24"/>
        </w:rPr>
      </w:pPr>
      <w:bookmarkStart w:id="68" w:name="_Toc179280796"/>
      <w:r w:rsidRPr="2934EBA0">
        <w:rPr>
          <w:sz w:val="24"/>
          <w:szCs w:val="24"/>
        </w:rPr>
        <w:t xml:space="preserve">Monitoring Fees </w:t>
      </w:r>
      <w:bookmarkEnd w:id="68"/>
      <w:r w:rsidR="00834606" w:rsidRPr="2934EBA0">
        <w:rPr>
          <w:sz w:val="24"/>
          <w:szCs w:val="24"/>
        </w:rPr>
        <w:t xml:space="preserve"> </w:t>
      </w:r>
    </w:p>
    <w:p w14:paraId="03D350B2" w14:textId="2EECE893" w:rsidR="00B36561" w:rsidRPr="00343EC6" w:rsidRDefault="007347FE" w:rsidP="007A00F7">
      <w:pPr>
        <w:ind w:left="720" w:hanging="720"/>
      </w:pPr>
      <w:r>
        <w:t>3.23</w:t>
      </w:r>
      <w:r>
        <w:tab/>
      </w:r>
      <w:r w:rsidR="00B36561" w:rsidRPr="00DA4314">
        <w:t xml:space="preserve">For planning applications submitted on or after 1st January 2021 that have an associated Section 106 agreement with them, a S106 monitoring fee has been applied to the legal agreement. This is a charge that the applicant/developer pays to the Council and covers the officer’s time in processing the legal agreement once it becomes “live”, monitoring the obligations of the applicant to ensure that they are fulfilled at the relevant trigger point and then the Council’s undertaking of their covenants within the agreement. </w:t>
      </w:r>
      <w:r w:rsidR="001D533E">
        <w:t>At April 2024, t</w:t>
      </w:r>
      <w:r w:rsidR="00B36561" w:rsidRPr="00DA4314">
        <w:t xml:space="preserve">he fee </w:t>
      </w:r>
      <w:r w:rsidR="001D533E" w:rsidRPr="00DA4314">
        <w:t>range</w:t>
      </w:r>
      <w:r w:rsidR="001D533E">
        <w:t>d</w:t>
      </w:r>
      <w:r w:rsidR="001D533E" w:rsidRPr="00DA4314">
        <w:t xml:space="preserve"> </w:t>
      </w:r>
      <w:r w:rsidR="00B36561" w:rsidRPr="00DA4314">
        <w:t>from £500 to a maximum of £10,000, depending on the size (number of dwellings) of the development.</w:t>
      </w:r>
      <w:r w:rsidR="001D533E">
        <w:t xml:space="preserve"> </w:t>
      </w:r>
      <w:r w:rsidR="002E308F">
        <w:t>These fees</w:t>
      </w:r>
      <w:r w:rsidR="001D533E">
        <w:t xml:space="preserve"> w</w:t>
      </w:r>
      <w:r w:rsidR="002E308F">
        <w:t>ere</w:t>
      </w:r>
      <w:r w:rsidR="001D533E">
        <w:t xml:space="preserve"> increased in October</w:t>
      </w:r>
      <w:r w:rsidR="002E308F">
        <w:t xml:space="preserve"> 2024. </w:t>
      </w:r>
      <w:r w:rsidR="00B36561" w:rsidRPr="00DA4314">
        <w:t>Further information on the S106 monitoring fees is set out in Table 5 below.</w:t>
      </w:r>
    </w:p>
    <w:p w14:paraId="614A4249" w14:textId="51A31157" w:rsidR="00F64B5E" w:rsidRPr="007A00F7" w:rsidRDefault="00F64B5E" w:rsidP="007A00F7">
      <w:pPr>
        <w:pStyle w:val="Style3"/>
        <w:rPr>
          <w:b w:val="0"/>
          <w:bCs w:val="0"/>
        </w:rPr>
      </w:pPr>
      <w:bookmarkStart w:id="69" w:name="_Toc88564896"/>
      <w:bookmarkStart w:id="70" w:name="_Toc179279254"/>
      <w:r w:rsidRPr="007A00F7">
        <w:t xml:space="preserve">Table </w:t>
      </w:r>
      <w:r w:rsidR="00D464EC" w:rsidRPr="003D41C0">
        <w:t>6</w:t>
      </w:r>
      <w:r w:rsidRPr="007A00F7">
        <w:t>: Monitoring Fees</w:t>
      </w:r>
      <w:bookmarkEnd w:id="69"/>
      <w:bookmarkEnd w:id="70"/>
    </w:p>
    <w:tbl>
      <w:tblPr>
        <w:tblW w:w="9346" w:type="dxa"/>
        <w:tblCellMar>
          <w:left w:w="0" w:type="dxa"/>
          <w:right w:w="0" w:type="dxa"/>
        </w:tblCellMar>
        <w:tblLook w:val="04A0" w:firstRow="1" w:lastRow="0" w:firstColumn="1" w:lastColumn="0" w:noHBand="0" w:noVBand="1"/>
      </w:tblPr>
      <w:tblGrid>
        <w:gridCol w:w="1257"/>
        <w:gridCol w:w="4670"/>
        <w:gridCol w:w="1860"/>
        <w:gridCol w:w="1559"/>
      </w:tblGrid>
      <w:tr w:rsidR="00FA6590" w:rsidRPr="00CC2D77" w14:paraId="42892334" w14:textId="6C4DFA37" w:rsidTr="007A00F7">
        <w:trPr>
          <w:tblHeader/>
        </w:trPr>
        <w:tc>
          <w:tcPr>
            <w:tcW w:w="1257" w:type="dxa"/>
            <w:tcBorders>
              <w:top w:val="single" w:sz="8" w:space="0" w:color="auto"/>
              <w:left w:val="single" w:sz="8" w:space="0" w:color="auto"/>
              <w:bottom w:val="single" w:sz="8" w:space="0" w:color="auto"/>
              <w:right w:val="single" w:sz="8" w:space="0" w:color="auto"/>
            </w:tcBorders>
            <w:shd w:val="clear" w:color="auto" w:fill="00B050"/>
            <w:tcMar>
              <w:top w:w="0" w:type="dxa"/>
              <w:left w:w="108" w:type="dxa"/>
              <w:bottom w:w="0" w:type="dxa"/>
              <w:right w:w="108" w:type="dxa"/>
            </w:tcMar>
            <w:hideMark/>
          </w:tcPr>
          <w:p w14:paraId="78DDD0DE" w14:textId="77777777" w:rsidR="00FA6590" w:rsidRPr="00A55942" w:rsidRDefault="00FA6590" w:rsidP="00E6353A">
            <w:pPr>
              <w:jc w:val="center"/>
              <w:rPr>
                <w:b/>
                <w:bCs/>
                <w:color w:val="FFFFFF" w:themeColor="background1"/>
              </w:rPr>
            </w:pPr>
            <w:r w:rsidRPr="00A55942">
              <w:rPr>
                <w:b/>
                <w:bCs/>
                <w:color w:val="FFFFFF" w:themeColor="background1"/>
              </w:rPr>
              <w:t>Category</w:t>
            </w:r>
          </w:p>
        </w:tc>
        <w:tc>
          <w:tcPr>
            <w:tcW w:w="4670"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70A2D97E" w14:textId="77777777" w:rsidR="00FA6590" w:rsidRPr="00A55942" w:rsidRDefault="00FA6590" w:rsidP="00E6353A">
            <w:pPr>
              <w:rPr>
                <w:b/>
                <w:bCs/>
                <w:color w:val="FFFFFF" w:themeColor="background1"/>
              </w:rPr>
            </w:pPr>
            <w:r w:rsidRPr="00A55942">
              <w:rPr>
                <w:b/>
                <w:bCs/>
                <w:color w:val="FFFFFF" w:themeColor="background1"/>
              </w:rPr>
              <w:t>Type of Development</w:t>
            </w:r>
          </w:p>
        </w:tc>
        <w:tc>
          <w:tcPr>
            <w:tcW w:w="1860" w:type="dxa"/>
            <w:tcBorders>
              <w:top w:val="single" w:sz="8" w:space="0" w:color="auto"/>
              <w:left w:val="nil"/>
              <w:bottom w:val="single" w:sz="8" w:space="0" w:color="auto"/>
              <w:right w:val="single" w:sz="8" w:space="0" w:color="auto"/>
            </w:tcBorders>
            <w:shd w:val="clear" w:color="auto" w:fill="00B050"/>
            <w:tcMar>
              <w:top w:w="0" w:type="dxa"/>
              <w:left w:w="108" w:type="dxa"/>
              <w:bottom w:w="0" w:type="dxa"/>
              <w:right w:w="108" w:type="dxa"/>
            </w:tcMar>
            <w:hideMark/>
          </w:tcPr>
          <w:p w14:paraId="327EB8ED" w14:textId="60041623" w:rsidR="00FA6590" w:rsidRPr="00A55942" w:rsidRDefault="00FA6590" w:rsidP="00E6353A">
            <w:pPr>
              <w:jc w:val="center"/>
              <w:rPr>
                <w:b/>
                <w:bCs/>
                <w:color w:val="FFFFFF" w:themeColor="background1"/>
              </w:rPr>
            </w:pPr>
            <w:r w:rsidRPr="00A55942">
              <w:rPr>
                <w:b/>
                <w:bCs/>
                <w:color w:val="FFFFFF" w:themeColor="background1"/>
              </w:rPr>
              <w:t>Monitoring Fee</w:t>
            </w:r>
            <w:r>
              <w:rPr>
                <w:b/>
                <w:bCs/>
                <w:color w:val="FFFFFF" w:themeColor="background1"/>
              </w:rPr>
              <w:t xml:space="preserve"> (2023/24)</w:t>
            </w:r>
          </w:p>
        </w:tc>
        <w:tc>
          <w:tcPr>
            <w:tcW w:w="1559" w:type="dxa"/>
            <w:tcBorders>
              <w:top w:val="single" w:sz="8" w:space="0" w:color="auto"/>
              <w:left w:val="nil"/>
              <w:bottom w:val="single" w:sz="8" w:space="0" w:color="auto"/>
              <w:right w:val="single" w:sz="8" w:space="0" w:color="auto"/>
            </w:tcBorders>
            <w:shd w:val="clear" w:color="auto" w:fill="00B050"/>
          </w:tcPr>
          <w:p w14:paraId="0684FE5B" w14:textId="37EFDD4D" w:rsidR="00FA6590" w:rsidRPr="00A55942" w:rsidRDefault="00FA6590" w:rsidP="00E6353A">
            <w:pPr>
              <w:jc w:val="center"/>
              <w:rPr>
                <w:b/>
                <w:bCs/>
                <w:color w:val="FFFFFF" w:themeColor="background1"/>
              </w:rPr>
            </w:pPr>
            <w:r>
              <w:rPr>
                <w:b/>
                <w:bCs/>
                <w:color w:val="FFFFFF" w:themeColor="background1"/>
              </w:rPr>
              <w:t>Monitoring Fee (Oct 24)</w:t>
            </w:r>
          </w:p>
        </w:tc>
      </w:tr>
      <w:tr w:rsidR="00FA6590" w:rsidRPr="00CC2D77" w14:paraId="63FA9562" w14:textId="537C1E26" w:rsidTr="007A00F7">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86A31" w14:textId="77777777" w:rsidR="00FA6590" w:rsidRPr="00A55942" w:rsidRDefault="00FA6590" w:rsidP="00E6353A">
            <w:pPr>
              <w:jc w:val="center"/>
            </w:pPr>
            <w:r w:rsidRPr="00A55942">
              <w:t>1</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1DAEADA6" w14:textId="77777777" w:rsidR="00FA6590" w:rsidRPr="00A55942" w:rsidRDefault="00FA6590" w:rsidP="00E6353A">
            <w:r w:rsidRPr="00A55942">
              <w:t>Small Minor (1 – 3 dwellings or creation of up to 100 sqm of floorspace)</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14:paraId="51487698" w14:textId="77777777" w:rsidR="00FA6590" w:rsidRPr="00A55942" w:rsidRDefault="00FA6590" w:rsidP="00E6353A">
            <w:pPr>
              <w:jc w:val="center"/>
            </w:pPr>
            <w:r w:rsidRPr="00A55942">
              <w:t>£500</w:t>
            </w:r>
          </w:p>
        </w:tc>
        <w:tc>
          <w:tcPr>
            <w:tcW w:w="1559" w:type="dxa"/>
            <w:tcBorders>
              <w:top w:val="nil"/>
              <w:left w:val="nil"/>
              <w:bottom w:val="single" w:sz="8" w:space="0" w:color="auto"/>
              <w:right w:val="single" w:sz="8" w:space="0" w:color="auto"/>
            </w:tcBorders>
          </w:tcPr>
          <w:p w14:paraId="5B9D8473" w14:textId="4301AFFF" w:rsidR="00FA6590" w:rsidRPr="00A55942" w:rsidRDefault="00FA6590" w:rsidP="00E6353A">
            <w:pPr>
              <w:jc w:val="center"/>
            </w:pPr>
            <w:r>
              <w:t>£575</w:t>
            </w:r>
          </w:p>
        </w:tc>
      </w:tr>
      <w:tr w:rsidR="00FA6590" w:rsidRPr="00CC2D77" w14:paraId="118FC6E8" w14:textId="43DAFEB8" w:rsidTr="007A00F7">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41CD96" w14:textId="77777777" w:rsidR="00FA6590" w:rsidRPr="00A55942" w:rsidRDefault="00FA6590" w:rsidP="00E6353A">
            <w:pPr>
              <w:jc w:val="center"/>
            </w:pPr>
            <w:r w:rsidRPr="00A55942">
              <w:t>2</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3A78A612" w14:textId="77777777" w:rsidR="00FA6590" w:rsidRPr="00A55942" w:rsidRDefault="00FA6590" w:rsidP="00E6353A">
            <w:r w:rsidRPr="00A55942">
              <w:t>Large Minor (4 – 9 dwellings or creation of 100 –999 sqm of floorspace)</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14:paraId="4187CB51" w14:textId="77777777" w:rsidR="00FA6590" w:rsidRPr="00A55942" w:rsidRDefault="00FA6590" w:rsidP="00E6353A">
            <w:pPr>
              <w:jc w:val="center"/>
            </w:pPr>
            <w:r w:rsidRPr="00A55942">
              <w:t>£1000</w:t>
            </w:r>
          </w:p>
        </w:tc>
        <w:tc>
          <w:tcPr>
            <w:tcW w:w="1559" w:type="dxa"/>
            <w:tcBorders>
              <w:top w:val="nil"/>
              <w:left w:val="nil"/>
              <w:bottom w:val="single" w:sz="8" w:space="0" w:color="auto"/>
              <w:right w:val="single" w:sz="8" w:space="0" w:color="auto"/>
            </w:tcBorders>
          </w:tcPr>
          <w:p w14:paraId="436AA306" w14:textId="6624C6FA" w:rsidR="00FA6590" w:rsidRPr="00A55942" w:rsidRDefault="00FA6590" w:rsidP="00E6353A">
            <w:pPr>
              <w:jc w:val="center"/>
            </w:pPr>
            <w:r>
              <w:t>£1,150</w:t>
            </w:r>
          </w:p>
        </w:tc>
      </w:tr>
      <w:tr w:rsidR="00FA6590" w:rsidRPr="00CC2D77" w14:paraId="0323D49D" w14:textId="4BCAF6A4" w:rsidTr="007A00F7">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CE7C03" w14:textId="77777777" w:rsidR="00FA6590" w:rsidRPr="00A55942" w:rsidRDefault="00FA6590" w:rsidP="00E6353A">
            <w:pPr>
              <w:jc w:val="center"/>
            </w:pPr>
            <w:r w:rsidRPr="00A55942">
              <w:t>3</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33784EBD" w14:textId="77777777" w:rsidR="00FA6590" w:rsidRPr="00A55942" w:rsidRDefault="00FA6590" w:rsidP="00E6353A">
            <w:r w:rsidRPr="00A55942">
              <w:t>Major (10 – 49 dwellings, creation of up to 1000 – 4999 sqm of floorspace)</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14:paraId="297185B9" w14:textId="77777777" w:rsidR="00FA6590" w:rsidRPr="00A55942" w:rsidRDefault="00FA6590" w:rsidP="00E6353A">
            <w:pPr>
              <w:jc w:val="center"/>
            </w:pPr>
            <w:r w:rsidRPr="00A55942">
              <w:t>£3000</w:t>
            </w:r>
          </w:p>
        </w:tc>
        <w:tc>
          <w:tcPr>
            <w:tcW w:w="1559" w:type="dxa"/>
            <w:tcBorders>
              <w:top w:val="nil"/>
              <w:left w:val="nil"/>
              <w:bottom w:val="single" w:sz="8" w:space="0" w:color="auto"/>
              <w:right w:val="single" w:sz="8" w:space="0" w:color="auto"/>
            </w:tcBorders>
          </w:tcPr>
          <w:p w14:paraId="4464C473" w14:textId="6C3EA82F" w:rsidR="00FA6590" w:rsidRPr="00A55942" w:rsidRDefault="00FA6590" w:rsidP="00E6353A">
            <w:pPr>
              <w:jc w:val="center"/>
            </w:pPr>
            <w:r>
              <w:t>£3,450</w:t>
            </w:r>
          </w:p>
        </w:tc>
      </w:tr>
      <w:tr w:rsidR="00FA6590" w:rsidRPr="00CC2D77" w14:paraId="76E77ADA" w14:textId="6588A9D5" w:rsidTr="007A00F7">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A04CAD" w14:textId="77777777" w:rsidR="00FA6590" w:rsidRPr="00A55942" w:rsidRDefault="00FA6590" w:rsidP="00E6353A">
            <w:pPr>
              <w:jc w:val="center"/>
            </w:pPr>
            <w:r w:rsidRPr="00A55942">
              <w:t>4</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70AA40D2" w14:textId="77777777" w:rsidR="00FA6590" w:rsidRPr="00A55942" w:rsidRDefault="00FA6590" w:rsidP="00E6353A">
            <w:r w:rsidRPr="00A55942">
              <w:t>Large Major (50 - 499 dwellings or 5000 – 9,999sqm of floorspace)</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14:paraId="4E859D11" w14:textId="77777777" w:rsidR="00FA6590" w:rsidRPr="00A55942" w:rsidRDefault="00FA6590" w:rsidP="00E6353A">
            <w:pPr>
              <w:jc w:val="center"/>
            </w:pPr>
            <w:r w:rsidRPr="00A55942">
              <w:t>£5000</w:t>
            </w:r>
          </w:p>
        </w:tc>
        <w:tc>
          <w:tcPr>
            <w:tcW w:w="1559" w:type="dxa"/>
            <w:tcBorders>
              <w:top w:val="nil"/>
              <w:left w:val="nil"/>
              <w:bottom w:val="single" w:sz="8" w:space="0" w:color="auto"/>
              <w:right w:val="single" w:sz="8" w:space="0" w:color="auto"/>
            </w:tcBorders>
          </w:tcPr>
          <w:p w14:paraId="46E830BD" w14:textId="262F69BB" w:rsidR="00FA6590" w:rsidRPr="00A55942" w:rsidRDefault="00FA6590" w:rsidP="00E6353A">
            <w:pPr>
              <w:jc w:val="center"/>
            </w:pPr>
            <w:r>
              <w:t>£</w:t>
            </w:r>
            <w:r w:rsidR="001D4572">
              <w:t>5,700</w:t>
            </w:r>
          </w:p>
        </w:tc>
      </w:tr>
      <w:tr w:rsidR="00FA6590" w:rsidRPr="00CC2D77" w14:paraId="2AB57944" w14:textId="24C91056" w:rsidTr="007A00F7">
        <w:tc>
          <w:tcPr>
            <w:tcW w:w="125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0E9B1" w14:textId="77777777" w:rsidR="00FA6590" w:rsidRPr="00A55942" w:rsidRDefault="00FA6590" w:rsidP="00E6353A">
            <w:pPr>
              <w:jc w:val="center"/>
            </w:pPr>
            <w:r w:rsidRPr="00A55942">
              <w:t>5</w:t>
            </w:r>
          </w:p>
        </w:tc>
        <w:tc>
          <w:tcPr>
            <w:tcW w:w="4670" w:type="dxa"/>
            <w:tcBorders>
              <w:top w:val="nil"/>
              <w:left w:val="nil"/>
              <w:bottom w:val="single" w:sz="8" w:space="0" w:color="auto"/>
              <w:right w:val="single" w:sz="8" w:space="0" w:color="auto"/>
            </w:tcBorders>
            <w:tcMar>
              <w:top w:w="0" w:type="dxa"/>
              <w:left w:w="108" w:type="dxa"/>
              <w:bottom w:w="0" w:type="dxa"/>
              <w:right w:w="108" w:type="dxa"/>
            </w:tcMar>
            <w:hideMark/>
          </w:tcPr>
          <w:p w14:paraId="05F205BE" w14:textId="77777777" w:rsidR="00FA6590" w:rsidRPr="00A55942" w:rsidRDefault="00FA6590" w:rsidP="00E6353A">
            <w:r w:rsidRPr="00A55942">
              <w:t>Strategic Major (500+ dwellings or 10,000+ sqm of floorspace)</w:t>
            </w:r>
          </w:p>
        </w:tc>
        <w:tc>
          <w:tcPr>
            <w:tcW w:w="1860" w:type="dxa"/>
            <w:tcBorders>
              <w:top w:val="nil"/>
              <w:left w:val="nil"/>
              <w:bottom w:val="single" w:sz="8" w:space="0" w:color="auto"/>
              <w:right w:val="single" w:sz="8" w:space="0" w:color="auto"/>
            </w:tcBorders>
            <w:tcMar>
              <w:top w:w="0" w:type="dxa"/>
              <w:left w:w="108" w:type="dxa"/>
              <w:bottom w:w="0" w:type="dxa"/>
              <w:right w:w="108" w:type="dxa"/>
            </w:tcMar>
            <w:hideMark/>
          </w:tcPr>
          <w:p w14:paraId="30D306B7" w14:textId="77777777" w:rsidR="00FA6590" w:rsidRPr="00A55942" w:rsidRDefault="00FA6590" w:rsidP="00E6353A">
            <w:pPr>
              <w:jc w:val="center"/>
            </w:pPr>
            <w:r w:rsidRPr="00A55942">
              <w:t>£10,000</w:t>
            </w:r>
          </w:p>
        </w:tc>
        <w:tc>
          <w:tcPr>
            <w:tcW w:w="1559" w:type="dxa"/>
            <w:tcBorders>
              <w:top w:val="nil"/>
              <w:left w:val="nil"/>
              <w:bottom w:val="single" w:sz="8" w:space="0" w:color="auto"/>
              <w:right w:val="single" w:sz="8" w:space="0" w:color="auto"/>
            </w:tcBorders>
          </w:tcPr>
          <w:p w14:paraId="50847F98" w14:textId="5546ABCA" w:rsidR="00FA6590" w:rsidRPr="00A55942" w:rsidRDefault="001D4572" w:rsidP="00E6353A">
            <w:pPr>
              <w:jc w:val="center"/>
            </w:pPr>
            <w:r>
              <w:t>£11,500</w:t>
            </w:r>
          </w:p>
        </w:tc>
      </w:tr>
    </w:tbl>
    <w:p w14:paraId="0EF9F6EE" w14:textId="77777777" w:rsidR="00F64B5E" w:rsidRDefault="00F64B5E" w:rsidP="00F64B5E">
      <w:pPr>
        <w:pStyle w:val="Style1"/>
        <w:jc w:val="left"/>
        <w:rPr>
          <w:sz w:val="24"/>
          <w:szCs w:val="24"/>
          <w:highlight w:val="yellow"/>
        </w:rPr>
      </w:pPr>
    </w:p>
    <w:p w14:paraId="3B0559FC" w14:textId="77777777" w:rsidR="002D0D92" w:rsidRDefault="002D0D92">
      <w:pPr>
        <w:rPr>
          <w:rFonts w:eastAsia="Times New Roman"/>
          <w:b/>
          <w:color w:val="212529"/>
          <w:lang w:eastAsia="en-GB"/>
        </w:rPr>
      </w:pPr>
      <w:r>
        <w:br w:type="page"/>
      </w:r>
    </w:p>
    <w:p w14:paraId="3C0CF8B1" w14:textId="18B71E1E" w:rsidR="00266F5F" w:rsidRDefault="00266F5F" w:rsidP="00850B9B">
      <w:pPr>
        <w:pStyle w:val="Style1"/>
        <w:jc w:val="left"/>
        <w:rPr>
          <w:sz w:val="24"/>
          <w:szCs w:val="24"/>
        </w:rPr>
      </w:pPr>
      <w:bookmarkStart w:id="71" w:name="_Toc179280797"/>
      <w:bookmarkEnd w:id="65"/>
      <w:bookmarkEnd w:id="66"/>
      <w:bookmarkEnd w:id="67"/>
      <w:r w:rsidRPr="2934EBA0">
        <w:rPr>
          <w:sz w:val="24"/>
          <w:szCs w:val="24"/>
        </w:rPr>
        <w:t xml:space="preserve">Section </w:t>
      </w:r>
      <w:r w:rsidR="002D0D92" w:rsidRPr="2934EBA0">
        <w:rPr>
          <w:sz w:val="24"/>
          <w:szCs w:val="24"/>
        </w:rPr>
        <w:t>4</w:t>
      </w:r>
      <w:r w:rsidRPr="2934EBA0">
        <w:rPr>
          <w:sz w:val="24"/>
          <w:szCs w:val="24"/>
        </w:rPr>
        <w:t xml:space="preserve">: Local Plan Review </w:t>
      </w:r>
      <w:r w:rsidR="007E1AFF" w:rsidRPr="2934EBA0">
        <w:rPr>
          <w:sz w:val="24"/>
          <w:szCs w:val="24"/>
        </w:rPr>
        <w:t xml:space="preserve">– Future Infrastructure Delivery Beyond 2036 </w:t>
      </w:r>
      <w:bookmarkEnd w:id="71"/>
    </w:p>
    <w:p w14:paraId="109C2D03" w14:textId="77777777" w:rsidR="00850B9B" w:rsidRDefault="00850B9B" w:rsidP="007A00F7">
      <w:pPr>
        <w:pStyle w:val="Style1"/>
        <w:jc w:val="left"/>
      </w:pPr>
    </w:p>
    <w:p w14:paraId="54980D56" w14:textId="2A13835E" w:rsidR="00C20061" w:rsidRPr="00A04E09" w:rsidRDefault="00C20061" w:rsidP="007A00F7">
      <w:pPr>
        <w:pStyle w:val="ListParagraph"/>
        <w:numPr>
          <w:ilvl w:val="0"/>
          <w:numId w:val="57"/>
        </w:numPr>
        <w:tabs>
          <w:tab w:val="left" w:pos="8080"/>
        </w:tabs>
        <w:ind w:hanging="720"/>
        <w:rPr>
          <w:rFonts w:eastAsia="Times New Roman"/>
          <w:color w:val="212529"/>
          <w:lang w:eastAsia="en-GB"/>
        </w:rPr>
      </w:pPr>
      <w:r w:rsidRPr="00A04E09">
        <w:rPr>
          <w:rFonts w:eastAsia="Times New Roman"/>
          <w:color w:val="212529"/>
          <w:lang w:eastAsia="en-GB"/>
        </w:rPr>
        <w:t xml:space="preserve">Work on the Local Plan Review </w:t>
      </w:r>
      <w:r w:rsidR="0066421F" w:rsidRPr="00A04E09">
        <w:rPr>
          <w:rFonts w:eastAsia="Times New Roman"/>
          <w:color w:val="212529"/>
          <w:lang w:eastAsia="en-GB"/>
        </w:rPr>
        <w:t xml:space="preserve">which will look beyond 2036 </w:t>
      </w:r>
      <w:r w:rsidRPr="00A04E09">
        <w:rPr>
          <w:rFonts w:eastAsia="Times New Roman"/>
          <w:color w:val="212529"/>
          <w:lang w:eastAsia="en-GB"/>
        </w:rPr>
        <w:t xml:space="preserve">has commenced </w:t>
      </w:r>
      <w:r w:rsidR="008D2A9F">
        <w:rPr>
          <w:rFonts w:eastAsia="Times New Roman"/>
          <w:color w:val="212529"/>
          <w:lang w:eastAsia="en-GB"/>
        </w:rPr>
        <w:t>with</w:t>
      </w:r>
      <w:r w:rsidR="008D2A9F" w:rsidRPr="00A04E09">
        <w:rPr>
          <w:rFonts w:eastAsia="Times New Roman"/>
          <w:color w:val="212529"/>
          <w:lang w:eastAsia="en-GB"/>
        </w:rPr>
        <w:t xml:space="preserve"> </w:t>
      </w:r>
      <w:r w:rsidRPr="00A04E09">
        <w:rPr>
          <w:rFonts w:eastAsia="Times New Roman"/>
          <w:color w:val="212529"/>
          <w:lang w:eastAsia="en-GB"/>
        </w:rPr>
        <w:t xml:space="preserve">the publication of a </w:t>
      </w:r>
      <w:hyperlink r:id="rId21" w:history="1">
        <w:r w:rsidR="00A94D68">
          <w:rPr>
            <w:color w:val="0000FF"/>
            <w:u w:val="single"/>
          </w:rPr>
          <w:t>Local Development Scheme</w:t>
        </w:r>
      </w:hyperlink>
      <w:r w:rsidRPr="00A04E09">
        <w:rPr>
          <w:rFonts w:eastAsia="Times New Roman"/>
          <w:color w:val="212529"/>
          <w:lang w:eastAsia="en-GB"/>
        </w:rPr>
        <w:t xml:space="preserve">, </w:t>
      </w:r>
      <w:hyperlink r:id="rId22" w:history="1">
        <w:r w:rsidR="00A94D68">
          <w:rPr>
            <w:color w:val="0000FF"/>
            <w:u w:val="single"/>
          </w:rPr>
          <w:t>Statement of Community Involvement</w:t>
        </w:r>
      </w:hyperlink>
      <w:r w:rsidR="00A94D68">
        <w:t xml:space="preserve"> </w:t>
      </w:r>
      <w:r w:rsidR="00B864A2" w:rsidRPr="00A04E09">
        <w:rPr>
          <w:rFonts w:eastAsia="Times New Roman"/>
          <w:color w:val="212529"/>
          <w:lang w:eastAsia="en-GB"/>
        </w:rPr>
        <w:t xml:space="preserve">and </w:t>
      </w:r>
      <w:r w:rsidR="00425C6C">
        <w:rPr>
          <w:rFonts w:eastAsia="Times New Roman"/>
          <w:color w:val="212529"/>
          <w:lang w:eastAsia="en-GB"/>
        </w:rPr>
        <w:t>undertaken a</w:t>
      </w:r>
      <w:r w:rsidR="00B864A2" w:rsidRPr="00A04E09">
        <w:rPr>
          <w:rFonts w:eastAsia="Times New Roman"/>
          <w:color w:val="212529"/>
          <w:lang w:eastAsia="en-GB"/>
        </w:rPr>
        <w:t xml:space="preserve"> consultation on a </w:t>
      </w:r>
      <w:hyperlink r:id="rId23" w:history="1">
        <w:r w:rsidR="00B26179">
          <w:rPr>
            <w:color w:val="0000FF"/>
            <w:u w:val="single"/>
          </w:rPr>
          <w:t>Call for sites</w:t>
        </w:r>
      </w:hyperlink>
      <w:r w:rsidR="00B864A2" w:rsidRPr="00A04E09">
        <w:rPr>
          <w:rFonts w:eastAsia="Times New Roman"/>
          <w:color w:val="212529"/>
          <w:lang w:eastAsia="en-GB"/>
        </w:rPr>
        <w:t xml:space="preserve">. </w:t>
      </w:r>
    </w:p>
    <w:p w14:paraId="14C4B4D4" w14:textId="77777777" w:rsidR="00B864A2" w:rsidRPr="00A04E09" w:rsidRDefault="00B864A2" w:rsidP="007A00F7">
      <w:pPr>
        <w:pStyle w:val="ListParagraph"/>
        <w:tabs>
          <w:tab w:val="left" w:pos="8080"/>
        </w:tabs>
        <w:ind w:left="0" w:hanging="720"/>
        <w:rPr>
          <w:rFonts w:eastAsia="Times New Roman"/>
          <w:color w:val="212529"/>
          <w:lang w:eastAsia="en-GB"/>
        </w:rPr>
      </w:pPr>
    </w:p>
    <w:p w14:paraId="657AB3AE" w14:textId="0BCE07B9" w:rsidR="00D71538" w:rsidRDefault="0098232E" w:rsidP="007A00F7">
      <w:pPr>
        <w:pStyle w:val="ListParagraph"/>
        <w:numPr>
          <w:ilvl w:val="0"/>
          <w:numId w:val="57"/>
        </w:numPr>
        <w:tabs>
          <w:tab w:val="left" w:pos="8080"/>
        </w:tabs>
        <w:ind w:hanging="720"/>
        <w:rPr>
          <w:rFonts w:eastAsia="Times New Roman"/>
          <w:color w:val="212529"/>
          <w:lang w:eastAsia="en-GB"/>
        </w:rPr>
      </w:pPr>
      <w:r w:rsidRPr="00A04E09">
        <w:rPr>
          <w:rFonts w:eastAsia="Times New Roman"/>
          <w:color w:val="212529"/>
          <w:lang w:eastAsia="en-GB"/>
        </w:rPr>
        <w:t xml:space="preserve">The evidence base is currently being developed </w:t>
      </w:r>
      <w:r w:rsidR="00464790" w:rsidRPr="00A04E09">
        <w:rPr>
          <w:rFonts w:eastAsia="Times New Roman"/>
          <w:color w:val="212529"/>
          <w:lang w:eastAsia="en-GB"/>
        </w:rPr>
        <w:t>which include</w:t>
      </w:r>
      <w:r w:rsidR="00FF5A8E">
        <w:rPr>
          <w:rFonts w:eastAsia="Times New Roman"/>
          <w:color w:val="212529"/>
          <w:lang w:eastAsia="en-GB"/>
        </w:rPr>
        <w:t>s</w:t>
      </w:r>
      <w:r w:rsidR="00464790" w:rsidRPr="00A04E09">
        <w:rPr>
          <w:rFonts w:eastAsia="Times New Roman"/>
          <w:color w:val="212529"/>
          <w:lang w:eastAsia="en-GB"/>
        </w:rPr>
        <w:t xml:space="preserve"> a</w:t>
      </w:r>
      <w:r w:rsidRPr="00A04E09">
        <w:rPr>
          <w:rFonts w:eastAsia="Times New Roman"/>
          <w:color w:val="212529"/>
          <w:lang w:eastAsia="en-GB"/>
        </w:rPr>
        <w:t xml:space="preserve"> Strategic Land Availability Assessment (SLAA) and Su</w:t>
      </w:r>
      <w:r w:rsidR="00C06BD5" w:rsidRPr="00A04E09">
        <w:rPr>
          <w:rFonts w:eastAsia="Times New Roman"/>
          <w:color w:val="212529"/>
          <w:lang w:eastAsia="en-GB"/>
        </w:rPr>
        <w:t xml:space="preserve">stainability Appraisal </w:t>
      </w:r>
      <w:r w:rsidR="00464790" w:rsidRPr="00A04E09">
        <w:rPr>
          <w:rFonts w:eastAsia="Times New Roman"/>
          <w:color w:val="212529"/>
          <w:lang w:eastAsia="en-GB"/>
        </w:rPr>
        <w:t xml:space="preserve">which will </w:t>
      </w:r>
      <w:r w:rsidR="005238D8" w:rsidRPr="00A04E09">
        <w:rPr>
          <w:rFonts w:eastAsia="Times New Roman"/>
          <w:color w:val="212529"/>
          <w:lang w:eastAsia="en-GB"/>
        </w:rPr>
        <w:t xml:space="preserve">assess the suitability of the </w:t>
      </w:r>
      <w:r w:rsidR="00C06BD5" w:rsidRPr="00A04E09">
        <w:rPr>
          <w:rFonts w:eastAsia="Times New Roman"/>
          <w:color w:val="212529"/>
          <w:lang w:eastAsia="en-GB"/>
        </w:rPr>
        <w:t xml:space="preserve">strategic areas </w:t>
      </w:r>
      <w:r w:rsidR="005238D8" w:rsidRPr="00A04E09">
        <w:rPr>
          <w:rFonts w:eastAsia="Times New Roman"/>
          <w:color w:val="212529"/>
          <w:lang w:eastAsia="en-GB"/>
        </w:rPr>
        <w:t xml:space="preserve">and </w:t>
      </w:r>
      <w:r w:rsidR="00FA4FA6">
        <w:rPr>
          <w:rFonts w:eastAsia="Times New Roman"/>
          <w:color w:val="212529"/>
          <w:lang w:eastAsia="en-GB"/>
        </w:rPr>
        <w:t>sites</w:t>
      </w:r>
      <w:r w:rsidR="005238D8" w:rsidRPr="00A04E09">
        <w:rPr>
          <w:rFonts w:eastAsia="Times New Roman"/>
          <w:color w:val="212529"/>
          <w:lang w:eastAsia="en-GB"/>
        </w:rPr>
        <w:t xml:space="preserve"> </w:t>
      </w:r>
      <w:r w:rsidR="00C06BD5" w:rsidRPr="00A04E09">
        <w:rPr>
          <w:rFonts w:eastAsia="Times New Roman"/>
          <w:color w:val="212529"/>
          <w:lang w:eastAsia="en-GB"/>
        </w:rPr>
        <w:t xml:space="preserve">which have been put forward </w:t>
      </w:r>
      <w:r w:rsidR="005238D8" w:rsidRPr="00A04E09">
        <w:rPr>
          <w:rFonts w:eastAsia="Times New Roman"/>
          <w:color w:val="212529"/>
          <w:lang w:eastAsia="en-GB"/>
        </w:rPr>
        <w:t xml:space="preserve">through the Call for Sites </w:t>
      </w:r>
      <w:r w:rsidR="00C06BD5" w:rsidRPr="00A04E09">
        <w:rPr>
          <w:rFonts w:eastAsia="Times New Roman"/>
          <w:color w:val="212529"/>
          <w:lang w:eastAsia="en-GB"/>
        </w:rPr>
        <w:t>by developers</w:t>
      </w:r>
      <w:r w:rsidR="0077010D">
        <w:rPr>
          <w:rFonts w:eastAsia="Times New Roman"/>
          <w:color w:val="212529"/>
          <w:lang w:eastAsia="en-GB"/>
        </w:rPr>
        <w:t>,</w:t>
      </w:r>
      <w:r w:rsidR="00472582">
        <w:rPr>
          <w:rFonts w:eastAsia="Times New Roman"/>
          <w:color w:val="212529"/>
          <w:lang w:eastAsia="en-GB"/>
        </w:rPr>
        <w:t xml:space="preserve"> landowners</w:t>
      </w:r>
      <w:r w:rsidR="0077010D">
        <w:rPr>
          <w:rFonts w:eastAsia="Times New Roman"/>
          <w:color w:val="212529"/>
          <w:lang w:eastAsia="en-GB"/>
        </w:rPr>
        <w:t xml:space="preserve"> and the Council</w:t>
      </w:r>
      <w:r w:rsidR="00AD77A7">
        <w:rPr>
          <w:rFonts w:eastAsia="Times New Roman"/>
          <w:color w:val="212529"/>
          <w:lang w:eastAsia="en-GB"/>
        </w:rPr>
        <w:t>.</w:t>
      </w:r>
    </w:p>
    <w:p w14:paraId="5ADC8D9B" w14:textId="77777777" w:rsidR="00D71538" w:rsidRDefault="00D71538" w:rsidP="007A00F7">
      <w:pPr>
        <w:pStyle w:val="ListParagraph"/>
        <w:tabs>
          <w:tab w:val="left" w:pos="8080"/>
        </w:tabs>
        <w:ind w:left="0" w:hanging="720"/>
        <w:rPr>
          <w:rFonts w:eastAsia="Times New Roman"/>
          <w:color w:val="212529"/>
          <w:lang w:eastAsia="en-GB"/>
        </w:rPr>
      </w:pPr>
    </w:p>
    <w:p w14:paraId="457E3F6F" w14:textId="61DA65AF" w:rsidR="003F614E" w:rsidRPr="00A04E09" w:rsidRDefault="00FA4FA6" w:rsidP="007A00F7">
      <w:pPr>
        <w:pStyle w:val="ListParagraph"/>
        <w:numPr>
          <w:ilvl w:val="0"/>
          <w:numId w:val="57"/>
        </w:numPr>
        <w:tabs>
          <w:tab w:val="left" w:pos="8080"/>
        </w:tabs>
        <w:ind w:hanging="720"/>
      </w:pPr>
      <w:r>
        <w:rPr>
          <w:rFonts w:eastAsia="Times New Roman"/>
          <w:color w:val="212529"/>
          <w:lang w:eastAsia="en-GB"/>
        </w:rPr>
        <w:t xml:space="preserve">This assessment will help to refine these </w:t>
      </w:r>
      <w:r w:rsidR="005A2C88">
        <w:rPr>
          <w:rFonts w:eastAsia="Times New Roman"/>
          <w:color w:val="212529"/>
          <w:lang w:eastAsia="en-GB"/>
        </w:rPr>
        <w:t xml:space="preserve">for the purpose of undertaking a comparative assessment of </w:t>
      </w:r>
      <w:r w:rsidR="00A06B5D">
        <w:rPr>
          <w:rFonts w:eastAsia="Times New Roman"/>
          <w:color w:val="212529"/>
          <w:lang w:eastAsia="en-GB"/>
        </w:rPr>
        <w:t xml:space="preserve">site options, which in turn will help to shape the Council’s preferred option for future development. </w:t>
      </w:r>
      <w:r w:rsidR="003F614E" w:rsidRPr="00A04E09">
        <w:rPr>
          <w:rFonts w:eastAsia="Times New Roman"/>
          <w:color w:val="212529"/>
          <w:lang w:eastAsia="en-GB"/>
        </w:rPr>
        <w:t xml:space="preserve">The IDP will </w:t>
      </w:r>
      <w:r w:rsidR="00B422DB" w:rsidRPr="00A04E09">
        <w:rPr>
          <w:rFonts w:eastAsia="Times New Roman"/>
          <w:color w:val="212529"/>
          <w:lang w:eastAsia="en-GB"/>
        </w:rPr>
        <w:t xml:space="preserve">also </w:t>
      </w:r>
      <w:r w:rsidR="003F614E" w:rsidRPr="00A04E09">
        <w:rPr>
          <w:rFonts w:eastAsia="Times New Roman"/>
          <w:color w:val="212529"/>
          <w:lang w:eastAsia="en-GB"/>
        </w:rPr>
        <w:t xml:space="preserve">be updated </w:t>
      </w:r>
      <w:r w:rsidR="00B422DB" w:rsidRPr="00A04E09">
        <w:rPr>
          <w:rFonts w:eastAsia="Times New Roman"/>
          <w:color w:val="212529"/>
          <w:lang w:eastAsia="en-GB"/>
        </w:rPr>
        <w:t>as part of the key evidence to support the Local Plan Review</w:t>
      </w:r>
      <w:r w:rsidR="00F3007A">
        <w:rPr>
          <w:rFonts w:eastAsia="Times New Roman"/>
          <w:color w:val="212529"/>
          <w:lang w:eastAsia="en-GB"/>
        </w:rPr>
        <w:t xml:space="preserve"> </w:t>
      </w:r>
      <w:r w:rsidR="00E20DF4">
        <w:rPr>
          <w:rFonts w:eastAsia="Times New Roman"/>
          <w:color w:val="212529"/>
          <w:lang w:eastAsia="en-GB"/>
        </w:rPr>
        <w:t xml:space="preserve">as it is progressed </w:t>
      </w:r>
      <w:r w:rsidR="00F3007A">
        <w:rPr>
          <w:rFonts w:eastAsia="Times New Roman"/>
          <w:color w:val="212529"/>
          <w:lang w:eastAsia="en-GB"/>
        </w:rPr>
        <w:t xml:space="preserve">and will provide a feedback loop </w:t>
      </w:r>
      <w:r w:rsidR="0040200B">
        <w:rPr>
          <w:rFonts w:eastAsia="Times New Roman"/>
          <w:color w:val="212529"/>
          <w:lang w:eastAsia="en-GB"/>
        </w:rPr>
        <w:t>for reporting on the delivery of</w:t>
      </w:r>
      <w:r w:rsidR="005C6724">
        <w:rPr>
          <w:rFonts w:eastAsia="Times New Roman"/>
          <w:color w:val="212529"/>
          <w:lang w:eastAsia="en-GB"/>
        </w:rPr>
        <w:t xml:space="preserve"> essential, necessary and desirable</w:t>
      </w:r>
      <w:r w:rsidR="0040200B">
        <w:rPr>
          <w:rFonts w:eastAsia="Times New Roman"/>
          <w:color w:val="212529"/>
          <w:lang w:eastAsia="en-GB"/>
        </w:rPr>
        <w:t xml:space="preserve"> infrastructure funding</w:t>
      </w:r>
      <w:r w:rsidR="00214C06">
        <w:rPr>
          <w:rFonts w:eastAsia="Times New Roman"/>
          <w:color w:val="212529"/>
          <w:lang w:eastAsia="en-GB"/>
        </w:rPr>
        <w:t xml:space="preserve"> </w:t>
      </w:r>
      <w:r w:rsidR="008E064C">
        <w:rPr>
          <w:rFonts w:eastAsia="Times New Roman"/>
          <w:color w:val="212529"/>
          <w:lang w:eastAsia="en-GB"/>
        </w:rPr>
        <w:t xml:space="preserve">that will be needed to support </w:t>
      </w:r>
      <w:r w:rsidR="00214C06">
        <w:rPr>
          <w:rFonts w:eastAsia="Times New Roman"/>
          <w:color w:val="212529"/>
          <w:lang w:eastAsia="en-GB"/>
        </w:rPr>
        <w:t>future development</w:t>
      </w:r>
      <w:r w:rsidR="008E064C">
        <w:rPr>
          <w:rFonts w:eastAsia="Times New Roman"/>
          <w:color w:val="212529"/>
          <w:lang w:eastAsia="en-GB"/>
        </w:rPr>
        <w:t>. This</w:t>
      </w:r>
      <w:r w:rsidR="00E20DF4">
        <w:rPr>
          <w:rFonts w:eastAsia="Times New Roman"/>
          <w:color w:val="212529"/>
          <w:lang w:eastAsia="en-GB"/>
        </w:rPr>
        <w:t xml:space="preserve"> will include that to be funded by</w:t>
      </w:r>
      <w:r w:rsidR="0040200B">
        <w:rPr>
          <w:rFonts w:eastAsia="Times New Roman"/>
          <w:color w:val="212529"/>
          <w:lang w:eastAsia="en-GB"/>
        </w:rPr>
        <w:t xml:space="preserve"> developer contributions in future.</w:t>
      </w:r>
    </w:p>
    <w:p w14:paraId="5D725D79" w14:textId="17545EDE" w:rsidR="00B864A2" w:rsidRPr="00A04E09" w:rsidRDefault="00B864A2" w:rsidP="009674A8">
      <w:pPr>
        <w:pStyle w:val="ListParagraph"/>
        <w:tabs>
          <w:tab w:val="left" w:pos="8080"/>
        </w:tabs>
        <w:ind w:left="0" w:hanging="720"/>
        <w:rPr>
          <w:rFonts w:eastAsia="Times New Roman"/>
          <w:color w:val="212529"/>
          <w:lang w:eastAsia="en-GB"/>
        </w:rPr>
      </w:pPr>
    </w:p>
    <w:p w14:paraId="41A2D55E" w14:textId="50BE6D22" w:rsidR="00203CBE" w:rsidRPr="00A04E09" w:rsidRDefault="00203CBE" w:rsidP="007A00F7">
      <w:pPr>
        <w:pStyle w:val="ListParagraph"/>
        <w:numPr>
          <w:ilvl w:val="0"/>
          <w:numId w:val="57"/>
        </w:numPr>
        <w:tabs>
          <w:tab w:val="left" w:pos="8080"/>
        </w:tabs>
        <w:ind w:hanging="720"/>
        <w:rPr>
          <w:rFonts w:eastAsia="Times New Roman"/>
          <w:color w:val="212529"/>
          <w:lang w:eastAsia="en-GB"/>
        </w:rPr>
      </w:pPr>
      <w:r w:rsidRPr="00A04E09">
        <w:rPr>
          <w:rFonts w:eastAsia="Times New Roman"/>
          <w:color w:val="212529"/>
          <w:lang w:eastAsia="en-GB"/>
        </w:rPr>
        <w:t>Whil</w:t>
      </w:r>
      <w:r w:rsidR="00FF5A8E">
        <w:rPr>
          <w:rFonts w:eastAsia="Times New Roman"/>
          <w:color w:val="212529"/>
          <w:lang w:eastAsia="en-GB"/>
        </w:rPr>
        <w:t>e</w:t>
      </w:r>
      <w:r w:rsidRPr="00A04E09">
        <w:rPr>
          <w:rFonts w:eastAsia="Times New Roman"/>
          <w:color w:val="212529"/>
          <w:lang w:eastAsia="en-GB"/>
        </w:rPr>
        <w:t xml:space="preserve"> work on identifying a preferred option(s) for the spatial location of development over the period of the Local Plan Review is some way off, </w:t>
      </w:r>
      <w:r w:rsidR="0066421F" w:rsidRPr="00A04E09">
        <w:rPr>
          <w:rFonts w:eastAsia="Times New Roman"/>
          <w:color w:val="212529"/>
          <w:lang w:eastAsia="en-GB"/>
        </w:rPr>
        <w:t xml:space="preserve">the </w:t>
      </w:r>
      <w:r w:rsidR="004208F5" w:rsidRPr="00A04E09">
        <w:rPr>
          <w:rFonts w:eastAsia="Times New Roman"/>
          <w:color w:val="212529"/>
          <w:lang w:eastAsia="en-GB"/>
        </w:rPr>
        <w:t xml:space="preserve">need for new infrastructure </w:t>
      </w:r>
      <w:r w:rsidR="00753D8A">
        <w:rPr>
          <w:rFonts w:eastAsia="Times New Roman"/>
          <w:color w:val="212529"/>
          <w:lang w:eastAsia="en-GB"/>
        </w:rPr>
        <w:t>provision</w:t>
      </w:r>
      <w:r w:rsidR="004208F5" w:rsidRPr="00A04E09">
        <w:rPr>
          <w:rFonts w:eastAsia="Times New Roman"/>
          <w:color w:val="212529"/>
          <w:lang w:eastAsia="en-GB"/>
        </w:rPr>
        <w:t xml:space="preserve"> to support the Borough’s identified housing</w:t>
      </w:r>
      <w:r w:rsidR="00753D8A">
        <w:rPr>
          <w:rFonts w:eastAsia="Times New Roman"/>
          <w:color w:val="212529"/>
          <w:lang w:eastAsia="en-GB"/>
        </w:rPr>
        <w:t xml:space="preserve"> and development</w:t>
      </w:r>
      <w:r w:rsidR="004208F5" w:rsidRPr="00A04E09">
        <w:rPr>
          <w:rFonts w:eastAsia="Times New Roman"/>
          <w:color w:val="212529"/>
          <w:lang w:eastAsia="en-GB"/>
        </w:rPr>
        <w:t xml:space="preserve"> needs over this long-term period</w:t>
      </w:r>
      <w:r w:rsidR="00753D8A">
        <w:rPr>
          <w:rFonts w:eastAsia="Times New Roman"/>
          <w:color w:val="212529"/>
          <w:lang w:eastAsia="en-GB"/>
        </w:rPr>
        <w:t xml:space="preserve"> will remain</w:t>
      </w:r>
      <w:r w:rsidR="004208F5" w:rsidRPr="00A04E09">
        <w:rPr>
          <w:rFonts w:eastAsia="Times New Roman"/>
          <w:color w:val="212529"/>
          <w:lang w:eastAsia="en-GB"/>
        </w:rPr>
        <w:t xml:space="preserve">.  </w:t>
      </w:r>
    </w:p>
    <w:p w14:paraId="34F0DCE7" w14:textId="77777777" w:rsidR="00C20061" w:rsidRPr="00A04E09" w:rsidRDefault="00C20061" w:rsidP="00FC0FD8">
      <w:pPr>
        <w:pStyle w:val="ListParagraph"/>
        <w:tabs>
          <w:tab w:val="left" w:pos="8080"/>
        </w:tabs>
        <w:ind w:left="0" w:hanging="567"/>
      </w:pPr>
    </w:p>
    <w:p w14:paraId="7DCF5C52" w14:textId="77777777" w:rsidR="00C20061" w:rsidRPr="00A04E09" w:rsidRDefault="00C20061" w:rsidP="00FC0FD8">
      <w:pPr>
        <w:pStyle w:val="ListParagraph"/>
        <w:tabs>
          <w:tab w:val="left" w:pos="8080"/>
        </w:tabs>
        <w:ind w:left="0" w:hanging="567"/>
      </w:pPr>
    </w:p>
    <w:p w14:paraId="73441802" w14:textId="0AFB7A66" w:rsidR="00C20061" w:rsidRPr="00EB1813" w:rsidRDefault="00C20061" w:rsidP="00FC0FD8">
      <w:pPr>
        <w:pStyle w:val="ListParagraph"/>
        <w:tabs>
          <w:tab w:val="left" w:pos="8080"/>
        </w:tabs>
        <w:ind w:left="0" w:hanging="567"/>
        <w:rPr>
          <w:b/>
        </w:rPr>
      </w:pPr>
    </w:p>
    <w:sectPr w:rsidR="00C20061" w:rsidRPr="00EB1813" w:rsidSect="00AE14BF">
      <w:footerReference w:type="default" r:id="rId24"/>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CD2F74" w14:textId="77777777" w:rsidR="005429DD" w:rsidRDefault="005429DD">
      <w:pPr>
        <w:spacing w:after="0" w:line="240" w:lineRule="auto"/>
      </w:pPr>
      <w:r>
        <w:separator/>
      </w:r>
    </w:p>
  </w:endnote>
  <w:endnote w:type="continuationSeparator" w:id="0">
    <w:p w14:paraId="6FA5F166" w14:textId="77777777" w:rsidR="005429DD" w:rsidRDefault="005429DD">
      <w:pPr>
        <w:spacing w:after="0" w:line="240" w:lineRule="auto"/>
      </w:pPr>
      <w:r>
        <w:continuationSeparator/>
      </w:r>
    </w:p>
  </w:endnote>
  <w:endnote w:type="continuationNotice" w:id="1">
    <w:p w14:paraId="1F037AD6" w14:textId="77777777" w:rsidR="005429DD" w:rsidRDefault="005429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rme">
    <w:altName w:val="Times New Roman"/>
    <w:charset w:val="00"/>
    <w:family w:val="auto"/>
    <w:pitch w:val="default"/>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1B7B9B" w14:textId="5A2C4E1D" w:rsidR="006C0B35" w:rsidRDefault="006C0B35">
    <w:pPr>
      <w:pStyle w:val="Footer"/>
      <w:jc w:val="right"/>
    </w:pPr>
  </w:p>
  <w:p w14:paraId="76352934" w14:textId="77777777" w:rsidR="006C0B35" w:rsidRDefault="006C0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5173015"/>
      <w:docPartObj>
        <w:docPartGallery w:val="Page Numbers (Bottom of Page)"/>
        <w:docPartUnique/>
      </w:docPartObj>
    </w:sdtPr>
    <w:sdtEndPr>
      <w:rPr>
        <w:noProof/>
      </w:rPr>
    </w:sdtEndPr>
    <w:sdtContent>
      <w:p w14:paraId="34935E7A" w14:textId="77777777" w:rsidR="006C0B35" w:rsidRDefault="006C0B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49C507B" w14:textId="77777777" w:rsidR="006C0B35" w:rsidRDefault="006C0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2FDDF" w14:textId="77777777" w:rsidR="005429DD" w:rsidRDefault="005429DD">
      <w:pPr>
        <w:spacing w:after="0" w:line="240" w:lineRule="auto"/>
      </w:pPr>
      <w:r>
        <w:separator/>
      </w:r>
    </w:p>
  </w:footnote>
  <w:footnote w:type="continuationSeparator" w:id="0">
    <w:p w14:paraId="60C18702" w14:textId="77777777" w:rsidR="005429DD" w:rsidRDefault="005429DD">
      <w:pPr>
        <w:spacing w:after="0" w:line="240" w:lineRule="auto"/>
      </w:pPr>
      <w:r>
        <w:continuationSeparator/>
      </w:r>
    </w:p>
  </w:footnote>
  <w:footnote w:type="continuationNotice" w:id="1">
    <w:p w14:paraId="78D163CE" w14:textId="77777777" w:rsidR="005429DD" w:rsidRDefault="005429DD">
      <w:pPr>
        <w:spacing w:after="0" w:line="240" w:lineRule="auto"/>
      </w:pPr>
    </w:p>
  </w:footnote>
  <w:footnote w:id="2">
    <w:p w14:paraId="04A960A6" w14:textId="1FEA0AC1" w:rsidR="000F634A" w:rsidRDefault="000F634A">
      <w:pPr>
        <w:pStyle w:val="FootnoteText"/>
      </w:pPr>
      <w:r>
        <w:rPr>
          <w:rStyle w:val="FootnoteReference"/>
        </w:rPr>
        <w:footnoteRef/>
      </w:r>
      <w:r>
        <w:t xml:space="preserve"> </w:t>
      </w:r>
      <w:hyperlink r:id="rId1" w:history="1">
        <w:r w:rsidRPr="00734553">
          <w:rPr>
            <w:color w:val="0000FF"/>
            <w:u w:val="single"/>
          </w:rPr>
          <w:t>Eastleigh Borough Council Interim Mitigation Strategy to address recreation impacts on New Forest protected sites</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7052F"/>
    <w:multiLevelType w:val="multilevel"/>
    <w:tmpl w:val="09401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D1774"/>
    <w:multiLevelType w:val="hybridMultilevel"/>
    <w:tmpl w:val="05F6EB3A"/>
    <w:lvl w:ilvl="0" w:tplc="356A81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F220D7"/>
    <w:multiLevelType w:val="hybridMultilevel"/>
    <w:tmpl w:val="2B96A150"/>
    <w:lvl w:ilvl="0" w:tplc="950C89C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4F55CC"/>
    <w:multiLevelType w:val="hybridMultilevel"/>
    <w:tmpl w:val="DE1C8B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D66D22"/>
    <w:multiLevelType w:val="hybridMultilevel"/>
    <w:tmpl w:val="182CA7FE"/>
    <w:lvl w:ilvl="0" w:tplc="950C89C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206D35"/>
    <w:multiLevelType w:val="hybridMultilevel"/>
    <w:tmpl w:val="CE5C3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3105CD"/>
    <w:multiLevelType w:val="hybridMultilevel"/>
    <w:tmpl w:val="7334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1469C1"/>
    <w:multiLevelType w:val="hybridMultilevel"/>
    <w:tmpl w:val="C18E1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F31012A"/>
    <w:multiLevelType w:val="hybridMultilevel"/>
    <w:tmpl w:val="C23CF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F3E7DE4"/>
    <w:multiLevelType w:val="hybridMultilevel"/>
    <w:tmpl w:val="F244C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0624551"/>
    <w:multiLevelType w:val="hybridMultilevel"/>
    <w:tmpl w:val="D97CE16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07930DB"/>
    <w:multiLevelType w:val="hybridMultilevel"/>
    <w:tmpl w:val="08FC2D2C"/>
    <w:lvl w:ilvl="0" w:tplc="C0D2E37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0D9782A"/>
    <w:multiLevelType w:val="hybridMultilevel"/>
    <w:tmpl w:val="8914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2DD6663"/>
    <w:multiLevelType w:val="hybridMultilevel"/>
    <w:tmpl w:val="4558A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3CE7EF1"/>
    <w:multiLevelType w:val="hybridMultilevel"/>
    <w:tmpl w:val="01403822"/>
    <w:lvl w:ilvl="0" w:tplc="1480FB16">
      <w:start w:val="1"/>
      <w:numFmt w:val="decimal"/>
      <w:lvlText w:val="3.%1"/>
      <w:lvlJc w:val="left"/>
      <w:pPr>
        <w:ind w:left="720" w:hanging="360"/>
      </w:pPr>
      <w:rPr>
        <w:rFonts w:ascii="Arial" w:hAnsi="Arial" w:cs="Arial"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65C70F2"/>
    <w:multiLevelType w:val="hybridMultilevel"/>
    <w:tmpl w:val="ACFAA24C"/>
    <w:lvl w:ilvl="0" w:tplc="EA3EE880">
      <w:start w:val="1"/>
      <w:numFmt w:val="decimal"/>
      <w:lvlText w:val="1.%1"/>
      <w:lvlJc w:val="left"/>
      <w:pPr>
        <w:ind w:left="0" w:hanging="709"/>
      </w:pPr>
      <w:rPr>
        <w:rFonts w:ascii="Arial" w:hAnsi="Arial" w:hint="default"/>
        <w:b w:val="0"/>
        <w:i w:val="0"/>
        <w:caps w:val="0"/>
        <w:strike w:val="0"/>
        <w:dstrike w:val="0"/>
        <w:vanish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29382D"/>
    <w:multiLevelType w:val="hybridMultilevel"/>
    <w:tmpl w:val="75300FC2"/>
    <w:lvl w:ilvl="0" w:tplc="B40A8366">
      <w:start w:val="1"/>
      <w:numFmt w:val="decimal"/>
      <w:lvlText w:val="2.%1"/>
      <w:lvlJc w:val="left"/>
      <w:pPr>
        <w:ind w:left="0" w:hanging="709"/>
      </w:pPr>
      <w:rPr>
        <w:rFonts w:ascii="Arial" w:hAnsi="Arial" w:hint="default"/>
        <w:b w:val="0"/>
        <w:i w:val="0"/>
        <w:caps w:val="0"/>
        <w:strike w:val="0"/>
        <w:dstrike w:val="0"/>
        <w:vanish w:val="0"/>
        <w:color w:val="auto"/>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7955327"/>
    <w:multiLevelType w:val="hybridMultilevel"/>
    <w:tmpl w:val="976A2F12"/>
    <w:lvl w:ilvl="0" w:tplc="950C89C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99175B6"/>
    <w:multiLevelType w:val="hybridMultilevel"/>
    <w:tmpl w:val="33024CE8"/>
    <w:lvl w:ilvl="0" w:tplc="356A81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19E6303B"/>
    <w:multiLevelType w:val="hybridMultilevel"/>
    <w:tmpl w:val="A626ABFE"/>
    <w:lvl w:ilvl="0" w:tplc="6BEEF856">
      <w:start w:val="1"/>
      <w:numFmt w:val="decimal"/>
      <w:lvlText w:val="4.%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B0F326E"/>
    <w:multiLevelType w:val="hybridMultilevel"/>
    <w:tmpl w:val="D270ACCA"/>
    <w:lvl w:ilvl="0" w:tplc="C99C0864">
      <w:start w:val="1"/>
      <w:numFmt w:val="decimal"/>
      <w:lvlText w:val="5.%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CAA6697"/>
    <w:multiLevelType w:val="hybridMultilevel"/>
    <w:tmpl w:val="F458943E"/>
    <w:lvl w:ilvl="0" w:tplc="356A81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1CCA2E26"/>
    <w:multiLevelType w:val="hybridMultilevel"/>
    <w:tmpl w:val="6C9AD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D5A3FD7"/>
    <w:multiLevelType w:val="multilevel"/>
    <w:tmpl w:val="92EE2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F676830"/>
    <w:multiLevelType w:val="multilevel"/>
    <w:tmpl w:val="42CE3BCA"/>
    <w:lvl w:ilvl="0">
      <w:start w:val="3"/>
      <w:numFmt w:val="decimal"/>
      <w:lvlText w:val="%1"/>
      <w:lvlJc w:val="left"/>
      <w:pPr>
        <w:ind w:left="460" w:hanging="460"/>
      </w:pPr>
      <w:rPr>
        <w:rFonts w:hint="default"/>
      </w:rPr>
    </w:lvl>
    <w:lvl w:ilvl="1">
      <w:start w:val="16"/>
      <w:numFmt w:val="decimal"/>
      <w:lvlText w:val="%1.%2"/>
      <w:lvlJc w:val="left"/>
      <w:pPr>
        <w:ind w:left="460" w:hanging="460"/>
      </w:pPr>
      <w:rPr>
        <w:rFonts w:hint="default"/>
        <w:strike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0161BF7"/>
    <w:multiLevelType w:val="hybridMultilevel"/>
    <w:tmpl w:val="1CC0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0EA568A"/>
    <w:multiLevelType w:val="hybridMultilevel"/>
    <w:tmpl w:val="9F5ABD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1212D3B"/>
    <w:multiLevelType w:val="hybridMultilevel"/>
    <w:tmpl w:val="BE66D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28F7326"/>
    <w:multiLevelType w:val="multilevel"/>
    <w:tmpl w:val="10609784"/>
    <w:lvl w:ilvl="0">
      <w:start w:val="3"/>
      <w:numFmt w:val="decimal"/>
      <w:lvlText w:val="%1"/>
      <w:lvlJc w:val="left"/>
      <w:pPr>
        <w:ind w:left="460" w:hanging="460"/>
      </w:pPr>
      <w:rPr>
        <w:rFonts w:hint="default"/>
      </w:rPr>
    </w:lvl>
    <w:lvl w:ilvl="1">
      <w:start w:val="23"/>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2E31EA5"/>
    <w:multiLevelType w:val="hybridMultilevel"/>
    <w:tmpl w:val="2DD25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380100B"/>
    <w:multiLevelType w:val="multilevel"/>
    <w:tmpl w:val="10609784"/>
    <w:lvl w:ilvl="0">
      <w:start w:val="3"/>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4396690"/>
    <w:multiLevelType w:val="hybridMultilevel"/>
    <w:tmpl w:val="B7CEF19C"/>
    <w:lvl w:ilvl="0" w:tplc="A2F082B4">
      <w:start w:val="1"/>
      <w:numFmt w:val="decimal"/>
      <w:lvlText w:val="2.%1"/>
      <w:lvlJc w:val="left"/>
      <w:pPr>
        <w:ind w:left="720" w:hanging="360"/>
      </w:pPr>
      <w:rPr>
        <w:rFonts w:hint="default"/>
        <w:b w:val="0"/>
        <w:bCs w:val="0"/>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27290765"/>
    <w:multiLevelType w:val="multilevel"/>
    <w:tmpl w:val="A572A538"/>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285E470D"/>
    <w:multiLevelType w:val="hybridMultilevel"/>
    <w:tmpl w:val="3AFC6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297B1A0B"/>
    <w:multiLevelType w:val="hybridMultilevel"/>
    <w:tmpl w:val="8072F48C"/>
    <w:lvl w:ilvl="0" w:tplc="356A81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A855F3A"/>
    <w:multiLevelType w:val="multilevel"/>
    <w:tmpl w:val="EC2015FE"/>
    <w:lvl w:ilvl="0">
      <w:start w:val="3"/>
      <w:numFmt w:val="decimal"/>
      <w:lvlText w:val="%1"/>
      <w:lvlJc w:val="left"/>
      <w:pPr>
        <w:ind w:left="460" w:hanging="460"/>
      </w:pPr>
      <w:rPr>
        <w:rFonts w:hint="default"/>
      </w:rPr>
    </w:lvl>
    <w:lvl w:ilvl="1">
      <w:start w:val="15"/>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5719B2"/>
    <w:multiLevelType w:val="hybridMultilevel"/>
    <w:tmpl w:val="15384364"/>
    <w:lvl w:ilvl="0" w:tplc="356A81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2E511BD3"/>
    <w:multiLevelType w:val="hybridMultilevel"/>
    <w:tmpl w:val="559CB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774B8E"/>
    <w:multiLevelType w:val="hybridMultilevel"/>
    <w:tmpl w:val="7A6C1178"/>
    <w:lvl w:ilvl="0" w:tplc="950C89C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31B660C2"/>
    <w:multiLevelType w:val="hybridMultilevel"/>
    <w:tmpl w:val="60864C22"/>
    <w:lvl w:ilvl="0" w:tplc="C0D2E37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5251359"/>
    <w:multiLevelType w:val="hybridMultilevel"/>
    <w:tmpl w:val="C1CA0A0E"/>
    <w:lvl w:ilvl="0" w:tplc="C0D2E37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35983EAE"/>
    <w:multiLevelType w:val="hybridMultilevel"/>
    <w:tmpl w:val="A9C8EC62"/>
    <w:lvl w:ilvl="0" w:tplc="08090001">
      <w:start w:val="1"/>
      <w:numFmt w:val="bullet"/>
      <w:lvlText w:val=""/>
      <w:lvlJc w:val="left"/>
      <w:pPr>
        <w:ind w:left="2068" w:hanging="360"/>
      </w:pPr>
      <w:rPr>
        <w:rFonts w:ascii="Symbol" w:hAnsi="Symbol" w:hint="default"/>
      </w:rPr>
    </w:lvl>
    <w:lvl w:ilvl="1" w:tplc="08090003" w:tentative="1">
      <w:start w:val="1"/>
      <w:numFmt w:val="bullet"/>
      <w:lvlText w:val="o"/>
      <w:lvlJc w:val="left"/>
      <w:pPr>
        <w:ind w:left="2788" w:hanging="360"/>
      </w:pPr>
      <w:rPr>
        <w:rFonts w:ascii="Courier New" w:hAnsi="Courier New" w:cs="Courier New" w:hint="default"/>
      </w:rPr>
    </w:lvl>
    <w:lvl w:ilvl="2" w:tplc="08090005" w:tentative="1">
      <w:start w:val="1"/>
      <w:numFmt w:val="bullet"/>
      <w:lvlText w:val=""/>
      <w:lvlJc w:val="left"/>
      <w:pPr>
        <w:ind w:left="3508" w:hanging="360"/>
      </w:pPr>
      <w:rPr>
        <w:rFonts w:ascii="Wingdings" w:hAnsi="Wingdings" w:hint="default"/>
      </w:rPr>
    </w:lvl>
    <w:lvl w:ilvl="3" w:tplc="08090001" w:tentative="1">
      <w:start w:val="1"/>
      <w:numFmt w:val="bullet"/>
      <w:lvlText w:val=""/>
      <w:lvlJc w:val="left"/>
      <w:pPr>
        <w:ind w:left="4228" w:hanging="360"/>
      </w:pPr>
      <w:rPr>
        <w:rFonts w:ascii="Symbol" w:hAnsi="Symbol" w:hint="default"/>
      </w:rPr>
    </w:lvl>
    <w:lvl w:ilvl="4" w:tplc="08090003" w:tentative="1">
      <w:start w:val="1"/>
      <w:numFmt w:val="bullet"/>
      <w:lvlText w:val="o"/>
      <w:lvlJc w:val="left"/>
      <w:pPr>
        <w:ind w:left="4948" w:hanging="360"/>
      </w:pPr>
      <w:rPr>
        <w:rFonts w:ascii="Courier New" w:hAnsi="Courier New" w:cs="Courier New" w:hint="default"/>
      </w:rPr>
    </w:lvl>
    <w:lvl w:ilvl="5" w:tplc="08090005" w:tentative="1">
      <w:start w:val="1"/>
      <w:numFmt w:val="bullet"/>
      <w:lvlText w:val=""/>
      <w:lvlJc w:val="left"/>
      <w:pPr>
        <w:ind w:left="5668" w:hanging="360"/>
      </w:pPr>
      <w:rPr>
        <w:rFonts w:ascii="Wingdings" w:hAnsi="Wingdings" w:hint="default"/>
      </w:rPr>
    </w:lvl>
    <w:lvl w:ilvl="6" w:tplc="08090001" w:tentative="1">
      <w:start w:val="1"/>
      <w:numFmt w:val="bullet"/>
      <w:lvlText w:val=""/>
      <w:lvlJc w:val="left"/>
      <w:pPr>
        <w:ind w:left="6388" w:hanging="360"/>
      </w:pPr>
      <w:rPr>
        <w:rFonts w:ascii="Symbol" w:hAnsi="Symbol" w:hint="default"/>
      </w:rPr>
    </w:lvl>
    <w:lvl w:ilvl="7" w:tplc="08090003" w:tentative="1">
      <w:start w:val="1"/>
      <w:numFmt w:val="bullet"/>
      <w:lvlText w:val="o"/>
      <w:lvlJc w:val="left"/>
      <w:pPr>
        <w:ind w:left="7108" w:hanging="360"/>
      </w:pPr>
      <w:rPr>
        <w:rFonts w:ascii="Courier New" w:hAnsi="Courier New" w:cs="Courier New" w:hint="default"/>
      </w:rPr>
    </w:lvl>
    <w:lvl w:ilvl="8" w:tplc="08090005" w:tentative="1">
      <w:start w:val="1"/>
      <w:numFmt w:val="bullet"/>
      <w:lvlText w:val=""/>
      <w:lvlJc w:val="left"/>
      <w:pPr>
        <w:ind w:left="7828" w:hanging="360"/>
      </w:pPr>
      <w:rPr>
        <w:rFonts w:ascii="Wingdings" w:hAnsi="Wingdings" w:hint="default"/>
      </w:rPr>
    </w:lvl>
  </w:abstractNum>
  <w:abstractNum w:abstractNumId="42" w15:restartNumberingAfterBreak="0">
    <w:nsid w:val="35D27DA0"/>
    <w:multiLevelType w:val="hybridMultilevel"/>
    <w:tmpl w:val="857A3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9761F76"/>
    <w:multiLevelType w:val="multilevel"/>
    <w:tmpl w:val="4D32CF0E"/>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AD81E0A"/>
    <w:multiLevelType w:val="hybridMultilevel"/>
    <w:tmpl w:val="1F488FAC"/>
    <w:lvl w:ilvl="0" w:tplc="356A81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3EC30D69"/>
    <w:multiLevelType w:val="hybridMultilevel"/>
    <w:tmpl w:val="631822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400535F3"/>
    <w:multiLevelType w:val="hybridMultilevel"/>
    <w:tmpl w:val="C9BEFA2C"/>
    <w:lvl w:ilvl="0" w:tplc="C0D2E37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423F30FA"/>
    <w:multiLevelType w:val="multilevel"/>
    <w:tmpl w:val="4CF83B6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49602BA6"/>
    <w:multiLevelType w:val="hybridMultilevel"/>
    <w:tmpl w:val="7D82783A"/>
    <w:lvl w:ilvl="0" w:tplc="CFCEBFB4">
      <w:start w:val="1"/>
      <w:numFmt w:val="bullet"/>
      <w:lvlText w:val=""/>
      <w:lvlJc w:val="left"/>
      <w:pPr>
        <w:ind w:left="720" w:hanging="360"/>
      </w:pPr>
      <w:rPr>
        <w:rFonts w:ascii="Symbol" w:hAnsi="Symbol"/>
      </w:rPr>
    </w:lvl>
    <w:lvl w:ilvl="1" w:tplc="E2BAA68E">
      <w:start w:val="1"/>
      <w:numFmt w:val="bullet"/>
      <w:lvlText w:val=""/>
      <w:lvlJc w:val="left"/>
      <w:pPr>
        <w:ind w:left="720" w:hanging="360"/>
      </w:pPr>
      <w:rPr>
        <w:rFonts w:ascii="Symbol" w:hAnsi="Symbol"/>
      </w:rPr>
    </w:lvl>
    <w:lvl w:ilvl="2" w:tplc="0C405E48">
      <w:start w:val="1"/>
      <w:numFmt w:val="bullet"/>
      <w:lvlText w:val=""/>
      <w:lvlJc w:val="left"/>
      <w:pPr>
        <w:ind w:left="720" w:hanging="360"/>
      </w:pPr>
      <w:rPr>
        <w:rFonts w:ascii="Symbol" w:hAnsi="Symbol"/>
      </w:rPr>
    </w:lvl>
    <w:lvl w:ilvl="3" w:tplc="89BEB7C0">
      <w:start w:val="1"/>
      <w:numFmt w:val="bullet"/>
      <w:lvlText w:val=""/>
      <w:lvlJc w:val="left"/>
      <w:pPr>
        <w:ind w:left="720" w:hanging="360"/>
      </w:pPr>
      <w:rPr>
        <w:rFonts w:ascii="Symbol" w:hAnsi="Symbol"/>
      </w:rPr>
    </w:lvl>
    <w:lvl w:ilvl="4" w:tplc="EB3C11CE">
      <w:start w:val="1"/>
      <w:numFmt w:val="bullet"/>
      <w:lvlText w:val=""/>
      <w:lvlJc w:val="left"/>
      <w:pPr>
        <w:ind w:left="720" w:hanging="360"/>
      </w:pPr>
      <w:rPr>
        <w:rFonts w:ascii="Symbol" w:hAnsi="Symbol"/>
      </w:rPr>
    </w:lvl>
    <w:lvl w:ilvl="5" w:tplc="7068D232">
      <w:start w:val="1"/>
      <w:numFmt w:val="bullet"/>
      <w:lvlText w:val=""/>
      <w:lvlJc w:val="left"/>
      <w:pPr>
        <w:ind w:left="720" w:hanging="360"/>
      </w:pPr>
      <w:rPr>
        <w:rFonts w:ascii="Symbol" w:hAnsi="Symbol"/>
      </w:rPr>
    </w:lvl>
    <w:lvl w:ilvl="6" w:tplc="473AC934">
      <w:start w:val="1"/>
      <w:numFmt w:val="bullet"/>
      <w:lvlText w:val=""/>
      <w:lvlJc w:val="left"/>
      <w:pPr>
        <w:ind w:left="720" w:hanging="360"/>
      </w:pPr>
      <w:rPr>
        <w:rFonts w:ascii="Symbol" w:hAnsi="Symbol"/>
      </w:rPr>
    </w:lvl>
    <w:lvl w:ilvl="7" w:tplc="67C20476">
      <w:start w:val="1"/>
      <w:numFmt w:val="bullet"/>
      <w:lvlText w:val=""/>
      <w:lvlJc w:val="left"/>
      <w:pPr>
        <w:ind w:left="720" w:hanging="360"/>
      </w:pPr>
      <w:rPr>
        <w:rFonts w:ascii="Symbol" w:hAnsi="Symbol"/>
      </w:rPr>
    </w:lvl>
    <w:lvl w:ilvl="8" w:tplc="8DBE271E">
      <w:start w:val="1"/>
      <w:numFmt w:val="bullet"/>
      <w:lvlText w:val=""/>
      <w:lvlJc w:val="left"/>
      <w:pPr>
        <w:ind w:left="720" w:hanging="360"/>
      </w:pPr>
      <w:rPr>
        <w:rFonts w:ascii="Symbol" w:hAnsi="Symbol"/>
      </w:rPr>
    </w:lvl>
  </w:abstractNum>
  <w:abstractNum w:abstractNumId="49" w15:restartNumberingAfterBreak="0">
    <w:nsid w:val="4BDA2E01"/>
    <w:multiLevelType w:val="hybridMultilevel"/>
    <w:tmpl w:val="6D8CF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9548DD"/>
    <w:multiLevelType w:val="multilevel"/>
    <w:tmpl w:val="FACAC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0326579"/>
    <w:multiLevelType w:val="hybridMultilevel"/>
    <w:tmpl w:val="30A0D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9057CD"/>
    <w:multiLevelType w:val="hybridMultilevel"/>
    <w:tmpl w:val="F63E4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2E270FB"/>
    <w:multiLevelType w:val="hybridMultilevel"/>
    <w:tmpl w:val="6A689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35F1F36"/>
    <w:multiLevelType w:val="multilevel"/>
    <w:tmpl w:val="3D368BFA"/>
    <w:lvl w:ilvl="0">
      <w:start w:val="3"/>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B2A2E39"/>
    <w:multiLevelType w:val="hybridMultilevel"/>
    <w:tmpl w:val="F6803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BB25BC"/>
    <w:multiLevelType w:val="hybridMultilevel"/>
    <w:tmpl w:val="B05EA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0CE1520"/>
    <w:multiLevelType w:val="hybridMultilevel"/>
    <w:tmpl w:val="221AA7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8" w15:restartNumberingAfterBreak="0">
    <w:nsid w:val="63DB1D6A"/>
    <w:multiLevelType w:val="hybridMultilevel"/>
    <w:tmpl w:val="565C7BC6"/>
    <w:lvl w:ilvl="0" w:tplc="584A8E62">
      <w:start w:val="1"/>
      <w:numFmt w:val="decimal"/>
      <w:lvlText w:val="3.%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6575571"/>
    <w:multiLevelType w:val="hybridMultilevel"/>
    <w:tmpl w:val="1152C37E"/>
    <w:lvl w:ilvl="0" w:tplc="4502E9CE">
      <w:start w:val="1"/>
      <w:numFmt w:val="bullet"/>
      <w:lvlText w:val=""/>
      <w:lvlJc w:val="left"/>
      <w:pPr>
        <w:ind w:left="720" w:hanging="360"/>
      </w:pPr>
      <w:rPr>
        <w:rFonts w:ascii="Symbol" w:hAnsi="Symbol"/>
      </w:rPr>
    </w:lvl>
    <w:lvl w:ilvl="1" w:tplc="033A421E">
      <w:start w:val="1"/>
      <w:numFmt w:val="bullet"/>
      <w:lvlText w:val=""/>
      <w:lvlJc w:val="left"/>
      <w:pPr>
        <w:ind w:left="720" w:hanging="360"/>
      </w:pPr>
      <w:rPr>
        <w:rFonts w:ascii="Symbol" w:hAnsi="Symbol"/>
      </w:rPr>
    </w:lvl>
    <w:lvl w:ilvl="2" w:tplc="E0B2B6E0">
      <w:start w:val="1"/>
      <w:numFmt w:val="bullet"/>
      <w:lvlText w:val=""/>
      <w:lvlJc w:val="left"/>
      <w:pPr>
        <w:ind w:left="720" w:hanging="360"/>
      </w:pPr>
      <w:rPr>
        <w:rFonts w:ascii="Symbol" w:hAnsi="Symbol"/>
      </w:rPr>
    </w:lvl>
    <w:lvl w:ilvl="3" w:tplc="6156AE56">
      <w:start w:val="1"/>
      <w:numFmt w:val="bullet"/>
      <w:lvlText w:val=""/>
      <w:lvlJc w:val="left"/>
      <w:pPr>
        <w:ind w:left="720" w:hanging="360"/>
      </w:pPr>
      <w:rPr>
        <w:rFonts w:ascii="Symbol" w:hAnsi="Symbol"/>
      </w:rPr>
    </w:lvl>
    <w:lvl w:ilvl="4" w:tplc="BEDA6196">
      <w:start w:val="1"/>
      <w:numFmt w:val="bullet"/>
      <w:lvlText w:val=""/>
      <w:lvlJc w:val="left"/>
      <w:pPr>
        <w:ind w:left="720" w:hanging="360"/>
      </w:pPr>
      <w:rPr>
        <w:rFonts w:ascii="Symbol" w:hAnsi="Symbol"/>
      </w:rPr>
    </w:lvl>
    <w:lvl w:ilvl="5" w:tplc="4C024D90">
      <w:start w:val="1"/>
      <w:numFmt w:val="bullet"/>
      <w:lvlText w:val=""/>
      <w:lvlJc w:val="left"/>
      <w:pPr>
        <w:ind w:left="720" w:hanging="360"/>
      </w:pPr>
      <w:rPr>
        <w:rFonts w:ascii="Symbol" w:hAnsi="Symbol"/>
      </w:rPr>
    </w:lvl>
    <w:lvl w:ilvl="6" w:tplc="1C4272FA">
      <w:start w:val="1"/>
      <w:numFmt w:val="bullet"/>
      <w:lvlText w:val=""/>
      <w:lvlJc w:val="left"/>
      <w:pPr>
        <w:ind w:left="720" w:hanging="360"/>
      </w:pPr>
      <w:rPr>
        <w:rFonts w:ascii="Symbol" w:hAnsi="Symbol"/>
      </w:rPr>
    </w:lvl>
    <w:lvl w:ilvl="7" w:tplc="43BAB462">
      <w:start w:val="1"/>
      <w:numFmt w:val="bullet"/>
      <w:lvlText w:val=""/>
      <w:lvlJc w:val="left"/>
      <w:pPr>
        <w:ind w:left="720" w:hanging="360"/>
      </w:pPr>
      <w:rPr>
        <w:rFonts w:ascii="Symbol" w:hAnsi="Symbol"/>
      </w:rPr>
    </w:lvl>
    <w:lvl w:ilvl="8" w:tplc="A330F024">
      <w:start w:val="1"/>
      <w:numFmt w:val="bullet"/>
      <w:lvlText w:val=""/>
      <w:lvlJc w:val="left"/>
      <w:pPr>
        <w:ind w:left="720" w:hanging="360"/>
      </w:pPr>
      <w:rPr>
        <w:rFonts w:ascii="Symbol" w:hAnsi="Symbol"/>
      </w:rPr>
    </w:lvl>
  </w:abstractNum>
  <w:abstractNum w:abstractNumId="60" w15:restartNumberingAfterBreak="0">
    <w:nsid w:val="67AC7682"/>
    <w:multiLevelType w:val="hybridMultilevel"/>
    <w:tmpl w:val="3AA67102"/>
    <w:lvl w:ilvl="0" w:tplc="08090001">
      <w:start w:val="1"/>
      <w:numFmt w:val="bullet"/>
      <w:lvlText w:val=""/>
      <w:lvlJc w:val="left"/>
      <w:pPr>
        <w:ind w:left="863"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abstractNum w:abstractNumId="61" w15:restartNumberingAfterBreak="0">
    <w:nsid w:val="6B130665"/>
    <w:multiLevelType w:val="hybridMultilevel"/>
    <w:tmpl w:val="1318F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C2764C6"/>
    <w:multiLevelType w:val="hybridMultilevel"/>
    <w:tmpl w:val="B9800D50"/>
    <w:lvl w:ilvl="0" w:tplc="950C89C4">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D326399"/>
    <w:multiLevelType w:val="hybridMultilevel"/>
    <w:tmpl w:val="94F26B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6DA775F3"/>
    <w:multiLevelType w:val="hybridMultilevel"/>
    <w:tmpl w:val="59C8B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E226C76"/>
    <w:multiLevelType w:val="hybridMultilevel"/>
    <w:tmpl w:val="8B1E8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F927951"/>
    <w:multiLevelType w:val="hybridMultilevel"/>
    <w:tmpl w:val="FDE8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2654FC4"/>
    <w:multiLevelType w:val="hybridMultilevel"/>
    <w:tmpl w:val="A6E8AF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3460738"/>
    <w:multiLevelType w:val="hybridMultilevel"/>
    <w:tmpl w:val="207EE206"/>
    <w:lvl w:ilvl="0" w:tplc="356A819E">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736D63D1"/>
    <w:multiLevelType w:val="hybridMultilevel"/>
    <w:tmpl w:val="33362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73C2392C"/>
    <w:multiLevelType w:val="hybridMultilevel"/>
    <w:tmpl w:val="1E588A4E"/>
    <w:lvl w:ilvl="0" w:tplc="C0D2E37C">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75CB3033"/>
    <w:multiLevelType w:val="hybridMultilevel"/>
    <w:tmpl w:val="98381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8663139"/>
    <w:multiLevelType w:val="hybridMultilevel"/>
    <w:tmpl w:val="73EECC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7C0B76FA"/>
    <w:multiLevelType w:val="hybridMultilevel"/>
    <w:tmpl w:val="46662DF6"/>
    <w:lvl w:ilvl="0" w:tplc="BF12C82E">
      <w:start w:val="1"/>
      <w:numFmt w:val="bullet"/>
      <w:lvlText w:val=""/>
      <w:lvlJc w:val="left"/>
      <w:pPr>
        <w:ind w:left="720" w:hanging="360"/>
      </w:pPr>
      <w:rPr>
        <w:rFonts w:ascii="Symbol" w:hAnsi="Symbol"/>
      </w:rPr>
    </w:lvl>
    <w:lvl w:ilvl="1" w:tplc="34F29406">
      <w:start w:val="1"/>
      <w:numFmt w:val="bullet"/>
      <w:lvlText w:val=""/>
      <w:lvlJc w:val="left"/>
      <w:pPr>
        <w:ind w:left="720" w:hanging="360"/>
      </w:pPr>
      <w:rPr>
        <w:rFonts w:ascii="Symbol" w:hAnsi="Symbol"/>
      </w:rPr>
    </w:lvl>
    <w:lvl w:ilvl="2" w:tplc="168A3598">
      <w:start w:val="1"/>
      <w:numFmt w:val="bullet"/>
      <w:lvlText w:val=""/>
      <w:lvlJc w:val="left"/>
      <w:pPr>
        <w:ind w:left="720" w:hanging="360"/>
      </w:pPr>
      <w:rPr>
        <w:rFonts w:ascii="Symbol" w:hAnsi="Symbol"/>
      </w:rPr>
    </w:lvl>
    <w:lvl w:ilvl="3" w:tplc="7D9E9E80">
      <w:start w:val="1"/>
      <w:numFmt w:val="bullet"/>
      <w:lvlText w:val=""/>
      <w:lvlJc w:val="left"/>
      <w:pPr>
        <w:ind w:left="720" w:hanging="360"/>
      </w:pPr>
      <w:rPr>
        <w:rFonts w:ascii="Symbol" w:hAnsi="Symbol"/>
      </w:rPr>
    </w:lvl>
    <w:lvl w:ilvl="4" w:tplc="FADC7196">
      <w:start w:val="1"/>
      <w:numFmt w:val="bullet"/>
      <w:lvlText w:val=""/>
      <w:lvlJc w:val="left"/>
      <w:pPr>
        <w:ind w:left="720" w:hanging="360"/>
      </w:pPr>
      <w:rPr>
        <w:rFonts w:ascii="Symbol" w:hAnsi="Symbol"/>
      </w:rPr>
    </w:lvl>
    <w:lvl w:ilvl="5" w:tplc="1A6E33EE">
      <w:start w:val="1"/>
      <w:numFmt w:val="bullet"/>
      <w:lvlText w:val=""/>
      <w:lvlJc w:val="left"/>
      <w:pPr>
        <w:ind w:left="720" w:hanging="360"/>
      </w:pPr>
      <w:rPr>
        <w:rFonts w:ascii="Symbol" w:hAnsi="Symbol"/>
      </w:rPr>
    </w:lvl>
    <w:lvl w:ilvl="6" w:tplc="8E3053A6">
      <w:start w:val="1"/>
      <w:numFmt w:val="bullet"/>
      <w:lvlText w:val=""/>
      <w:lvlJc w:val="left"/>
      <w:pPr>
        <w:ind w:left="720" w:hanging="360"/>
      </w:pPr>
      <w:rPr>
        <w:rFonts w:ascii="Symbol" w:hAnsi="Symbol"/>
      </w:rPr>
    </w:lvl>
    <w:lvl w:ilvl="7" w:tplc="58A2AB08">
      <w:start w:val="1"/>
      <w:numFmt w:val="bullet"/>
      <w:lvlText w:val=""/>
      <w:lvlJc w:val="left"/>
      <w:pPr>
        <w:ind w:left="720" w:hanging="360"/>
      </w:pPr>
      <w:rPr>
        <w:rFonts w:ascii="Symbol" w:hAnsi="Symbol"/>
      </w:rPr>
    </w:lvl>
    <w:lvl w:ilvl="8" w:tplc="D8C00062">
      <w:start w:val="1"/>
      <w:numFmt w:val="bullet"/>
      <w:lvlText w:val=""/>
      <w:lvlJc w:val="left"/>
      <w:pPr>
        <w:ind w:left="720" w:hanging="360"/>
      </w:pPr>
      <w:rPr>
        <w:rFonts w:ascii="Symbol" w:hAnsi="Symbol"/>
      </w:rPr>
    </w:lvl>
  </w:abstractNum>
  <w:abstractNum w:abstractNumId="74" w15:restartNumberingAfterBreak="0">
    <w:nsid w:val="7D905110"/>
    <w:multiLevelType w:val="multilevel"/>
    <w:tmpl w:val="10609784"/>
    <w:lvl w:ilvl="0">
      <w:start w:val="3"/>
      <w:numFmt w:val="decimal"/>
      <w:lvlText w:val="%1"/>
      <w:lvlJc w:val="left"/>
      <w:pPr>
        <w:ind w:left="460" w:hanging="460"/>
      </w:pPr>
      <w:rPr>
        <w:rFonts w:hint="default"/>
      </w:rPr>
    </w:lvl>
    <w:lvl w:ilvl="1">
      <w:start w:val="16"/>
      <w:numFmt w:val="decimal"/>
      <w:lvlText w:val="%1.%2"/>
      <w:lvlJc w:val="left"/>
      <w:pPr>
        <w:ind w:left="460" w:hanging="4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5" w15:restartNumberingAfterBreak="0">
    <w:nsid w:val="7E445BCB"/>
    <w:multiLevelType w:val="hybridMultilevel"/>
    <w:tmpl w:val="8A72C0B6"/>
    <w:lvl w:ilvl="0" w:tplc="947AAC26">
      <w:start w:val="1"/>
      <w:numFmt w:val="decimal"/>
      <w:lvlText w:val="2.%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6" w15:restartNumberingAfterBreak="0">
    <w:nsid w:val="7ED03ECC"/>
    <w:multiLevelType w:val="hybridMultilevel"/>
    <w:tmpl w:val="C5C007F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num w:numId="1" w16cid:durableId="328676006">
    <w:abstractNumId w:val="10"/>
  </w:num>
  <w:num w:numId="2" w16cid:durableId="394619960">
    <w:abstractNumId w:val="65"/>
  </w:num>
  <w:num w:numId="3" w16cid:durableId="1501041363">
    <w:abstractNumId w:val="63"/>
  </w:num>
  <w:num w:numId="4" w16cid:durableId="2091195527">
    <w:abstractNumId w:val="15"/>
  </w:num>
  <w:num w:numId="5" w16cid:durableId="875234591">
    <w:abstractNumId w:val="16"/>
  </w:num>
  <w:num w:numId="6" w16cid:durableId="555624818">
    <w:abstractNumId w:val="29"/>
  </w:num>
  <w:num w:numId="7" w16cid:durableId="440808658">
    <w:abstractNumId w:val="7"/>
  </w:num>
  <w:num w:numId="8" w16cid:durableId="1573664148">
    <w:abstractNumId w:val="53"/>
  </w:num>
  <w:num w:numId="9" w16cid:durableId="1266227755">
    <w:abstractNumId w:val="57"/>
  </w:num>
  <w:num w:numId="10" w16cid:durableId="1244951219">
    <w:abstractNumId w:val="5"/>
  </w:num>
  <w:num w:numId="11" w16cid:durableId="1033728680">
    <w:abstractNumId w:val="61"/>
  </w:num>
  <w:num w:numId="12" w16cid:durableId="1057322378">
    <w:abstractNumId w:val="67"/>
  </w:num>
  <w:num w:numId="13" w16cid:durableId="2004044510">
    <w:abstractNumId w:val="55"/>
  </w:num>
  <w:num w:numId="14" w16cid:durableId="398941768">
    <w:abstractNumId w:val="33"/>
  </w:num>
  <w:num w:numId="15" w16cid:durableId="1872262620">
    <w:abstractNumId w:val="51"/>
  </w:num>
  <w:num w:numId="16" w16cid:durableId="409233691">
    <w:abstractNumId w:val="66"/>
  </w:num>
  <w:num w:numId="17" w16cid:durableId="556011205">
    <w:abstractNumId w:val="49"/>
  </w:num>
  <w:num w:numId="18" w16cid:durableId="2077315974">
    <w:abstractNumId w:val="3"/>
  </w:num>
  <w:num w:numId="19" w16cid:durableId="1612778206">
    <w:abstractNumId w:val="25"/>
  </w:num>
  <w:num w:numId="20" w16cid:durableId="1671327173">
    <w:abstractNumId w:val="64"/>
  </w:num>
  <w:num w:numId="21" w16cid:durableId="1124543798">
    <w:abstractNumId w:val="37"/>
  </w:num>
  <w:num w:numId="22" w16cid:durableId="756292952">
    <w:abstractNumId w:val="23"/>
  </w:num>
  <w:num w:numId="23" w16cid:durableId="1745447376">
    <w:abstractNumId w:val="26"/>
  </w:num>
  <w:num w:numId="24" w16cid:durableId="1962177749">
    <w:abstractNumId w:val="60"/>
  </w:num>
  <w:num w:numId="25" w16cid:durableId="355546725">
    <w:abstractNumId w:val="76"/>
  </w:num>
  <w:num w:numId="26" w16cid:durableId="1686903947">
    <w:abstractNumId w:val="41"/>
  </w:num>
  <w:num w:numId="27" w16cid:durableId="668139767">
    <w:abstractNumId w:val="59"/>
  </w:num>
  <w:num w:numId="28" w16cid:durableId="276914947">
    <w:abstractNumId w:val="48"/>
  </w:num>
  <w:num w:numId="29" w16cid:durableId="287778507">
    <w:abstractNumId w:val="73"/>
  </w:num>
  <w:num w:numId="30" w16cid:durableId="345862216">
    <w:abstractNumId w:val="52"/>
  </w:num>
  <w:num w:numId="31" w16cid:durableId="742723958">
    <w:abstractNumId w:val="6"/>
  </w:num>
  <w:num w:numId="32" w16cid:durableId="1131173029">
    <w:abstractNumId w:val="9"/>
  </w:num>
  <w:num w:numId="33" w16cid:durableId="1058748502">
    <w:abstractNumId w:val="71"/>
  </w:num>
  <w:num w:numId="34" w16cid:durableId="996999590">
    <w:abstractNumId w:val="56"/>
  </w:num>
  <w:num w:numId="35" w16cid:durableId="1549605259">
    <w:abstractNumId w:val="12"/>
  </w:num>
  <w:num w:numId="36" w16cid:durableId="1429693976">
    <w:abstractNumId w:val="69"/>
  </w:num>
  <w:num w:numId="37" w16cid:durableId="552234568">
    <w:abstractNumId w:val="13"/>
  </w:num>
  <w:num w:numId="38" w16cid:durableId="243803602">
    <w:abstractNumId w:val="22"/>
  </w:num>
  <w:num w:numId="39" w16cid:durableId="1518731340">
    <w:abstractNumId w:val="1"/>
  </w:num>
  <w:num w:numId="40" w16cid:durableId="607784839">
    <w:abstractNumId w:val="68"/>
  </w:num>
  <w:num w:numId="41" w16cid:durableId="281965446">
    <w:abstractNumId w:val="18"/>
  </w:num>
  <w:num w:numId="42" w16cid:durableId="403991960">
    <w:abstractNumId w:val="21"/>
  </w:num>
  <w:num w:numId="43" w16cid:durableId="627249714">
    <w:abstractNumId w:val="36"/>
  </w:num>
  <w:num w:numId="44" w16cid:durableId="1548835609">
    <w:abstractNumId w:val="34"/>
  </w:num>
  <w:num w:numId="45" w16cid:durableId="277688898">
    <w:abstractNumId w:val="44"/>
  </w:num>
  <w:num w:numId="46" w16cid:durableId="1035614479">
    <w:abstractNumId w:val="31"/>
  </w:num>
  <w:num w:numId="47" w16cid:durableId="712928863">
    <w:abstractNumId w:val="4"/>
  </w:num>
  <w:num w:numId="48" w16cid:durableId="1198271914">
    <w:abstractNumId w:val="17"/>
  </w:num>
  <w:num w:numId="49" w16cid:durableId="1604873641">
    <w:abstractNumId w:val="38"/>
  </w:num>
  <w:num w:numId="50" w16cid:durableId="803620024">
    <w:abstractNumId w:val="2"/>
  </w:num>
  <w:num w:numId="51" w16cid:durableId="1460106400">
    <w:abstractNumId w:val="62"/>
  </w:num>
  <w:num w:numId="52" w16cid:durableId="1141844144">
    <w:abstractNumId w:val="14"/>
  </w:num>
  <w:num w:numId="53" w16cid:durableId="479351067">
    <w:abstractNumId w:val="39"/>
  </w:num>
  <w:num w:numId="54" w16cid:durableId="1276089">
    <w:abstractNumId w:val="40"/>
  </w:num>
  <w:num w:numId="55" w16cid:durableId="1816605792">
    <w:abstractNumId w:val="11"/>
  </w:num>
  <w:num w:numId="56" w16cid:durableId="296841188">
    <w:abstractNumId w:val="46"/>
  </w:num>
  <w:num w:numId="57" w16cid:durableId="2065639860">
    <w:abstractNumId w:val="19"/>
  </w:num>
  <w:num w:numId="58" w16cid:durableId="572392391">
    <w:abstractNumId w:val="20"/>
  </w:num>
  <w:num w:numId="59" w16cid:durableId="1240214166">
    <w:abstractNumId w:val="75"/>
  </w:num>
  <w:num w:numId="60" w16cid:durableId="735511563">
    <w:abstractNumId w:val="45"/>
  </w:num>
  <w:num w:numId="61" w16cid:durableId="1831677259">
    <w:abstractNumId w:val="58"/>
  </w:num>
  <w:num w:numId="62" w16cid:durableId="242833809">
    <w:abstractNumId w:val="0"/>
  </w:num>
  <w:num w:numId="63" w16cid:durableId="2112506250">
    <w:abstractNumId w:val="50"/>
  </w:num>
  <w:num w:numId="64" w16cid:durableId="182136524">
    <w:abstractNumId w:val="70"/>
  </w:num>
  <w:num w:numId="65" w16cid:durableId="431318416">
    <w:abstractNumId w:val="8"/>
  </w:num>
  <w:num w:numId="66" w16cid:durableId="771364301">
    <w:abstractNumId w:val="27"/>
  </w:num>
  <w:num w:numId="67" w16cid:durableId="2058160326">
    <w:abstractNumId w:val="42"/>
  </w:num>
  <w:num w:numId="68" w16cid:durableId="896629310">
    <w:abstractNumId w:val="72"/>
  </w:num>
  <w:num w:numId="69" w16cid:durableId="472330829">
    <w:abstractNumId w:val="35"/>
  </w:num>
  <w:num w:numId="70" w16cid:durableId="1143042078">
    <w:abstractNumId w:val="54"/>
  </w:num>
  <w:num w:numId="71" w16cid:durableId="692271714">
    <w:abstractNumId w:val="74"/>
  </w:num>
  <w:num w:numId="72" w16cid:durableId="582640581">
    <w:abstractNumId w:val="30"/>
  </w:num>
  <w:num w:numId="73" w16cid:durableId="1165248215">
    <w:abstractNumId w:val="24"/>
  </w:num>
  <w:num w:numId="74" w16cid:durableId="1870797787">
    <w:abstractNumId w:val="32"/>
  </w:num>
  <w:num w:numId="75" w16cid:durableId="1757819243">
    <w:abstractNumId w:val="43"/>
  </w:num>
  <w:num w:numId="76" w16cid:durableId="927227627">
    <w:abstractNumId w:val="28"/>
  </w:num>
  <w:num w:numId="77" w16cid:durableId="2062047198">
    <w:abstractNumId w:val="4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BCB"/>
    <w:rsid w:val="000001B0"/>
    <w:rsid w:val="00000B44"/>
    <w:rsid w:val="00000CA4"/>
    <w:rsid w:val="00000CE0"/>
    <w:rsid w:val="0000107F"/>
    <w:rsid w:val="00001595"/>
    <w:rsid w:val="00003462"/>
    <w:rsid w:val="00003899"/>
    <w:rsid w:val="00003C77"/>
    <w:rsid w:val="0000451D"/>
    <w:rsid w:val="00004E08"/>
    <w:rsid w:val="00004ED3"/>
    <w:rsid w:val="00005258"/>
    <w:rsid w:val="00005B9B"/>
    <w:rsid w:val="00005CDA"/>
    <w:rsid w:val="00006287"/>
    <w:rsid w:val="00006568"/>
    <w:rsid w:val="000069B8"/>
    <w:rsid w:val="000075E7"/>
    <w:rsid w:val="000078D2"/>
    <w:rsid w:val="00007DC3"/>
    <w:rsid w:val="00010630"/>
    <w:rsid w:val="000106A3"/>
    <w:rsid w:val="00010714"/>
    <w:rsid w:val="00010DE1"/>
    <w:rsid w:val="00011208"/>
    <w:rsid w:val="00011262"/>
    <w:rsid w:val="0001158B"/>
    <w:rsid w:val="000115DB"/>
    <w:rsid w:val="00012121"/>
    <w:rsid w:val="00012936"/>
    <w:rsid w:val="000141FA"/>
    <w:rsid w:val="00016060"/>
    <w:rsid w:val="000160CE"/>
    <w:rsid w:val="00017DEC"/>
    <w:rsid w:val="00020FC9"/>
    <w:rsid w:val="00021DCC"/>
    <w:rsid w:val="00022094"/>
    <w:rsid w:val="000226C5"/>
    <w:rsid w:val="00023A1A"/>
    <w:rsid w:val="00023FD1"/>
    <w:rsid w:val="00024FE4"/>
    <w:rsid w:val="0002522D"/>
    <w:rsid w:val="000254EB"/>
    <w:rsid w:val="00025F57"/>
    <w:rsid w:val="00026514"/>
    <w:rsid w:val="0003042B"/>
    <w:rsid w:val="00032660"/>
    <w:rsid w:val="00032A9B"/>
    <w:rsid w:val="0003348F"/>
    <w:rsid w:val="00034260"/>
    <w:rsid w:val="00034420"/>
    <w:rsid w:val="00034BDE"/>
    <w:rsid w:val="00035751"/>
    <w:rsid w:val="000365CF"/>
    <w:rsid w:val="000366B1"/>
    <w:rsid w:val="000366FF"/>
    <w:rsid w:val="00036B3C"/>
    <w:rsid w:val="00036EA2"/>
    <w:rsid w:val="000405DD"/>
    <w:rsid w:val="00040A4B"/>
    <w:rsid w:val="00040C47"/>
    <w:rsid w:val="00041433"/>
    <w:rsid w:val="0004150F"/>
    <w:rsid w:val="000417A2"/>
    <w:rsid w:val="000417D5"/>
    <w:rsid w:val="000424D3"/>
    <w:rsid w:val="000429F3"/>
    <w:rsid w:val="0004300F"/>
    <w:rsid w:val="000431AD"/>
    <w:rsid w:val="00043E2F"/>
    <w:rsid w:val="000443F8"/>
    <w:rsid w:val="00044BA0"/>
    <w:rsid w:val="00044CB5"/>
    <w:rsid w:val="000454B2"/>
    <w:rsid w:val="00045537"/>
    <w:rsid w:val="00045762"/>
    <w:rsid w:val="0004586A"/>
    <w:rsid w:val="0004684E"/>
    <w:rsid w:val="000468CD"/>
    <w:rsid w:val="00047271"/>
    <w:rsid w:val="00047345"/>
    <w:rsid w:val="0004775A"/>
    <w:rsid w:val="00047DA4"/>
    <w:rsid w:val="000500F7"/>
    <w:rsid w:val="0005116B"/>
    <w:rsid w:val="0005167E"/>
    <w:rsid w:val="00051732"/>
    <w:rsid w:val="000527C4"/>
    <w:rsid w:val="00052A87"/>
    <w:rsid w:val="00053800"/>
    <w:rsid w:val="00053CC9"/>
    <w:rsid w:val="00053D78"/>
    <w:rsid w:val="00055062"/>
    <w:rsid w:val="0005536F"/>
    <w:rsid w:val="00055AA3"/>
    <w:rsid w:val="00055B29"/>
    <w:rsid w:val="00055D50"/>
    <w:rsid w:val="000567EC"/>
    <w:rsid w:val="00056A12"/>
    <w:rsid w:val="00056EFF"/>
    <w:rsid w:val="00057724"/>
    <w:rsid w:val="00060ED9"/>
    <w:rsid w:val="000610E6"/>
    <w:rsid w:val="0006290C"/>
    <w:rsid w:val="000629CA"/>
    <w:rsid w:val="00062C9E"/>
    <w:rsid w:val="00063AE6"/>
    <w:rsid w:val="00064D49"/>
    <w:rsid w:val="00065812"/>
    <w:rsid w:val="0006652D"/>
    <w:rsid w:val="00066893"/>
    <w:rsid w:val="000668C7"/>
    <w:rsid w:val="0006720C"/>
    <w:rsid w:val="0006763D"/>
    <w:rsid w:val="00067710"/>
    <w:rsid w:val="00067FC9"/>
    <w:rsid w:val="0007053D"/>
    <w:rsid w:val="0007081D"/>
    <w:rsid w:val="000713D0"/>
    <w:rsid w:val="00071655"/>
    <w:rsid w:val="000716DE"/>
    <w:rsid w:val="000721B5"/>
    <w:rsid w:val="00072845"/>
    <w:rsid w:val="00073243"/>
    <w:rsid w:val="000746EB"/>
    <w:rsid w:val="00074A82"/>
    <w:rsid w:val="00075651"/>
    <w:rsid w:val="000757C8"/>
    <w:rsid w:val="00075C60"/>
    <w:rsid w:val="0007646F"/>
    <w:rsid w:val="0007670C"/>
    <w:rsid w:val="000767B5"/>
    <w:rsid w:val="000767E4"/>
    <w:rsid w:val="00076EE0"/>
    <w:rsid w:val="00077660"/>
    <w:rsid w:val="000819F1"/>
    <w:rsid w:val="000829B0"/>
    <w:rsid w:val="00082B53"/>
    <w:rsid w:val="00083ED8"/>
    <w:rsid w:val="00083FB4"/>
    <w:rsid w:val="00084706"/>
    <w:rsid w:val="00085040"/>
    <w:rsid w:val="000856FB"/>
    <w:rsid w:val="00085846"/>
    <w:rsid w:val="00085FA3"/>
    <w:rsid w:val="00086812"/>
    <w:rsid w:val="00086820"/>
    <w:rsid w:val="00086A46"/>
    <w:rsid w:val="00086C28"/>
    <w:rsid w:val="00090130"/>
    <w:rsid w:val="000905E8"/>
    <w:rsid w:val="000909EF"/>
    <w:rsid w:val="00090D7E"/>
    <w:rsid w:val="00090DA5"/>
    <w:rsid w:val="000921FD"/>
    <w:rsid w:val="0009223B"/>
    <w:rsid w:val="00092656"/>
    <w:rsid w:val="000933FF"/>
    <w:rsid w:val="00093736"/>
    <w:rsid w:val="000943BD"/>
    <w:rsid w:val="00094601"/>
    <w:rsid w:val="00095A09"/>
    <w:rsid w:val="00095AD0"/>
    <w:rsid w:val="00095C2C"/>
    <w:rsid w:val="00095C36"/>
    <w:rsid w:val="00095D3B"/>
    <w:rsid w:val="00096D1B"/>
    <w:rsid w:val="00097D4F"/>
    <w:rsid w:val="000A03FE"/>
    <w:rsid w:val="000A0CD0"/>
    <w:rsid w:val="000A0D02"/>
    <w:rsid w:val="000A1761"/>
    <w:rsid w:val="000A19C7"/>
    <w:rsid w:val="000A19D7"/>
    <w:rsid w:val="000A2E9F"/>
    <w:rsid w:val="000A2F4E"/>
    <w:rsid w:val="000A33B5"/>
    <w:rsid w:val="000A33B6"/>
    <w:rsid w:val="000A3D03"/>
    <w:rsid w:val="000A40ED"/>
    <w:rsid w:val="000A4286"/>
    <w:rsid w:val="000A43ED"/>
    <w:rsid w:val="000A4E28"/>
    <w:rsid w:val="000A4EE7"/>
    <w:rsid w:val="000A558B"/>
    <w:rsid w:val="000A568B"/>
    <w:rsid w:val="000A6623"/>
    <w:rsid w:val="000A6997"/>
    <w:rsid w:val="000A6C8D"/>
    <w:rsid w:val="000A7850"/>
    <w:rsid w:val="000B0093"/>
    <w:rsid w:val="000B1826"/>
    <w:rsid w:val="000B1F63"/>
    <w:rsid w:val="000B2391"/>
    <w:rsid w:val="000B3394"/>
    <w:rsid w:val="000B3A6F"/>
    <w:rsid w:val="000B4072"/>
    <w:rsid w:val="000B41F9"/>
    <w:rsid w:val="000B4371"/>
    <w:rsid w:val="000B4D2D"/>
    <w:rsid w:val="000B53CF"/>
    <w:rsid w:val="000B5B2B"/>
    <w:rsid w:val="000B6A59"/>
    <w:rsid w:val="000B71D8"/>
    <w:rsid w:val="000B778F"/>
    <w:rsid w:val="000B7DA1"/>
    <w:rsid w:val="000C0489"/>
    <w:rsid w:val="000C0B15"/>
    <w:rsid w:val="000C16BA"/>
    <w:rsid w:val="000C20E4"/>
    <w:rsid w:val="000C240A"/>
    <w:rsid w:val="000C2A6C"/>
    <w:rsid w:val="000C2FDB"/>
    <w:rsid w:val="000C4099"/>
    <w:rsid w:val="000C4901"/>
    <w:rsid w:val="000C4D07"/>
    <w:rsid w:val="000C5CDB"/>
    <w:rsid w:val="000C77AB"/>
    <w:rsid w:val="000C7982"/>
    <w:rsid w:val="000C7A1C"/>
    <w:rsid w:val="000C7B12"/>
    <w:rsid w:val="000D06B1"/>
    <w:rsid w:val="000D0A70"/>
    <w:rsid w:val="000D0E1B"/>
    <w:rsid w:val="000D1395"/>
    <w:rsid w:val="000D15B5"/>
    <w:rsid w:val="000D171F"/>
    <w:rsid w:val="000D179D"/>
    <w:rsid w:val="000D2F5C"/>
    <w:rsid w:val="000D312A"/>
    <w:rsid w:val="000D34F9"/>
    <w:rsid w:val="000D3B22"/>
    <w:rsid w:val="000D5038"/>
    <w:rsid w:val="000D5653"/>
    <w:rsid w:val="000D7AAE"/>
    <w:rsid w:val="000E047E"/>
    <w:rsid w:val="000E0D14"/>
    <w:rsid w:val="000E0EEC"/>
    <w:rsid w:val="000E1413"/>
    <w:rsid w:val="000E19CF"/>
    <w:rsid w:val="000E20CC"/>
    <w:rsid w:val="000E26E9"/>
    <w:rsid w:val="000E3203"/>
    <w:rsid w:val="000E3289"/>
    <w:rsid w:val="000E3AA4"/>
    <w:rsid w:val="000E40FC"/>
    <w:rsid w:val="000E617E"/>
    <w:rsid w:val="000E6D46"/>
    <w:rsid w:val="000E702F"/>
    <w:rsid w:val="000E78E3"/>
    <w:rsid w:val="000F0739"/>
    <w:rsid w:val="000F19D5"/>
    <w:rsid w:val="000F19E5"/>
    <w:rsid w:val="000F236D"/>
    <w:rsid w:val="000F251C"/>
    <w:rsid w:val="000F38A1"/>
    <w:rsid w:val="000F4359"/>
    <w:rsid w:val="000F4D8A"/>
    <w:rsid w:val="000F5862"/>
    <w:rsid w:val="000F5F85"/>
    <w:rsid w:val="000F634A"/>
    <w:rsid w:val="000F6705"/>
    <w:rsid w:val="000F7313"/>
    <w:rsid w:val="000F76C0"/>
    <w:rsid w:val="000F79D9"/>
    <w:rsid w:val="000F7C34"/>
    <w:rsid w:val="000F7DD3"/>
    <w:rsid w:val="000F7F35"/>
    <w:rsid w:val="00100317"/>
    <w:rsid w:val="00100894"/>
    <w:rsid w:val="001009D5"/>
    <w:rsid w:val="00100EFC"/>
    <w:rsid w:val="0010100E"/>
    <w:rsid w:val="001018C0"/>
    <w:rsid w:val="00102040"/>
    <w:rsid w:val="001029A5"/>
    <w:rsid w:val="00102DE1"/>
    <w:rsid w:val="001030CE"/>
    <w:rsid w:val="0010310C"/>
    <w:rsid w:val="0010354A"/>
    <w:rsid w:val="00103C72"/>
    <w:rsid w:val="001044B4"/>
    <w:rsid w:val="00104E84"/>
    <w:rsid w:val="0010501A"/>
    <w:rsid w:val="001051D5"/>
    <w:rsid w:val="001062EB"/>
    <w:rsid w:val="0010631D"/>
    <w:rsid w:val="00106325"/>
    <w:rsid w:val="00106A7A"/>
    <w:rsid w:val="00107803"/>
    <w:rsid w:val="00107D4A"/>
    <w:rsid w:val="00112194"/>
    <w:rsid w:val="00112249"/>
    <w:rsid w:val="001128B0"/>
    <w:rsid w:val="00113403"/>
    <w:rsid w:val="00114229"/>
    <w:rsid w:val="001149CC"/>
    <w:rsid w:val="001152F6"/>
    <w:rsid w:val="001153BB"/>
    <w:rsid w:val="001154B8"/>
    <w:rsid w:val="001159A7"/>
    <w:rsid w:val="00115AC6"/>
    <w:rsid w:val="00115E42"/>
    <w:rsid w:val="0011716F"/>
    <w:rsid w:val="001206F7"/>
    <w:rsid w:val="0012110F"/>
    <w:rsid w:val="0012195E"/>
    <w:rsid w:val="00122ACB"/>
    <w:rsid w:val="00122F34"/>
    <w:rsid w:val="00123879"/>
    <w:rsid w:val="00124864"/>
    <w:rsid w:val="001253C8"/>
    <w:rsid w:val="0012656F"/>
    <w:rsid w:val="00126CED"/>
    <w:rsid w:val="00126D3A"/>
    <w:rsid w:val="00126DFF"/>
    <w:rsid w:val="00126FFF"/>
    <w:rsid w:val="0012725D"/>
    <w:rsid w:val="00127553"/>
    <w:rsid w:val="00127EA4"/>
    <w:rsid w:val="00130D68"/>
    <w:rsid w:val="00131439"/>
    <w:rsid w:val="0013219E"/>
    <w:rsid w:val="00133000"/>
    <w:rsid w:val="00133D53"/>
    <w:rsid w:val="00134908"/>
    <w:rsid w:val="00134D1E"/>
    <w:rsid w:val="001351AF"/>
    <w:rsid w:val="00136151"/>
    <w:rsid w:val="00136923"/>
    <w:rsid w:val="00137616"/>
    <w:rsid w:val="00137C00"/>
    <w:rsid w:val="00140264"/>
    <w:rsid w:val="00140ACC"/>
    <w:rsid w:val="00141622"/>
    <w:rsid w:val="001419CA"/>
    <w:rsid w:val="00141F2D"/>
    <w:rsid w:val="001424CD"/>
    <w:rsid w:val="0014251A"/>
    <w:rsid w:val="0014278B"/>
    <w:rsid w:val="00143ECF"/>
    <w:rsid w:val="00143F00"/>
    <w:rsid w:val="0014462A"/>
    <w:rsid w:val="00144B0C"/>
    <w:rsid w:val="00144BC9"/>
    <w:rsid w:val="001458EB"/>
    <w:rsid w:val="00145A55"/>
    <w:rsid w:val="00146041"/>
    <w:rsid w:val="00146194"/>
    <w:rsid w:val="001471A9"/>
    <w:rsid w:val="001501B8"/>
    <w:rsid w:val="001508BB"/>
    <w:rsid w:val="00150DFA"/>
    <w:rsid w:val="00150E6F"/>
    <w:rsid w:val="001511B9"/>
    <w:rsid w:val="0015145A"/>
    <w:rsid w:val="001518E4"/>
    <w:rsid w:val="00151C23"/>
    <w:rsid w:val="0015210F"/>
    <w:rsid w:val="00153337"/>
    <w:rsid w:val="0015340B"/>
    <w:rsid w:val="00153C10"/>
    <w:rsid w:val="00153DDC"/>
    <w:rsid w:val="00154B30"/>
    <w:rsid w:val="00154EED"/>
    <w:rsid w:val="00155BAB"/>
    <w:rsid w:val="00157B73"/>
    <w:rsid w:val="001600F1"/>
    <w:rsid w:val="00160F0B"/>
    <w:rsid w:val="0016122B"/>
    <w:rsid w:val="0016242A"/>
    <w:rsid w:val="00162757"/>
    <w:rsid w:val="00162FCF"/>
    <w:rsid w:val="0016354D"/>
    <w:rsid w:val="001639D5"/>
    <w:rsid w:val="00163C9D"/>
    <w:rsid w:val="00163F9E"/>
    <w:rsid w:val="001643E0"/>
    <w:rsid w:val="001644E6"/>
    <w:rsid w:val="00164C83"/>
    <w:rsid w:val="0016567C"/>
    <w:rsid w:val="001657DD"/>
    <w:rsid w:val="00166538"/>
    <w:rsid w:val="00166D3D"/>
    <w:rsid w:val="001671F7"/>
    <w:rsid w:val="00167456"/>
    <w:rsid w:val="001674A1"/>
    <w:rsid w:val="001675FC"/>
    <w:rsid w:val="00167E63"/>
    <w:rsid w:val="0016B85D"/>
    <w:rsid w:val="0017074B"/>
    <w:rsid w:val="0017155A"/>
    <w:rsid w:val="00172CA1"/>
    <w:rsid w:val="00172FDF"/>
    <w:rsid w:val="00172FE5"/>
    <w:rsid w:val="00173296"/>
    <w:rsid w:val="001737A7"/>
    <w:rsid w:val="00176CC8"/>
    <w:rsid w:val="00176F87"/>
    <w:rsid w:val="00177118"/>
    <w:rsid w:val="001777DB"/>
    <w:rsid w:val="00177DF6"/>
    <w:rsid w:val="00180271"/>
    <w:rsid w:val="00180545"/>
    <w:rsid w:val="00180635"/>
    <w:rsid w:val="0018085C"/>
    <w:rsid w:val="0018088D"/>
    <w:rsid w:val="0018181C"/>
    <w:rsid w:val="00181B21"/>
    <w:rsid w:val="001828D9"/>
    <w:rsid w:val="00182D44"/>
    <w:rsid w:val="00182DDB"/>
    <w:rsid w:val="00183422"/>
    <w:rsid w:val="00183711"/>
    <w:rsid w:val="00183A32"/>
    <w:rsid w:val="00183DA7"/>
    <w:rsid w:val="00184067"/>
    <w:rsid w:val="00184081"/>
    <w:rsid w:val="001845D1"/>
    <w:rsid w:val="00185596"/>
    <w:rsid w:val="0018593F"/>
    <w:rsid w:val="00185E6F"/>
    <w:rsid w:val="001862A1"/>
    <w:rsid w:val="00187540"/>
    <w:rsid w:val="00187784"/>
    <w:rsid w:val="00187F47"/>
    <w:rsid w:val="0019162B"/>
    <w:rsid w:val="001927FD"/>
    <w:rsid w:val="00192E2E"/>
    <w:rsid w:val="00193617"/>
    <w:rsid w:val="00194197"/>
    <w:rsid w:val="0019483F"/>
    <w:rsid w:val="00194CBB"/>
    <w:rsid w:val="0019589B"/>
    <w:rsid w:val="001961AB"/>
    <w:rsid w:val="00196389"/>
    <w:rsid w:val="001968E9"/>
    <w:rsid w:val="001A00AD"/>
    <w:rsid w:val="001A0755"/>
    <w:rsid w:val="001A08E5"/>
    <w:rsid w:val="001A10F5"/>
    <w:rsid w:val="001A1596"/>
    <w:rsid w:val="001A180A"/>
    <w:rsid w:val="001A18D3"/>
    <w:rsid w:val="001A22BB"/>
    <w:rsid w:val="001A388D"/>
    <w:rsid w:val="001A39E2"/>
    <w:rsid w:val="001A3AB8"/>
    <w:rsid w:val="001A3B7E"/>
    <w:rsid w:val="001A40B1"/>
    <w:rsid w:val="001A41F0"/>
    <w:rsid w:val="001A42D9"/>
    <w:rsid w:val="001A45FE"/>
    <w:rsid w:val="001A4820"/>
    <w:rsid w:val="001A4930"/>
    <w:rsid w:val="001A4962"/>
    <w:rsid w:val="001A55C4"/>
    <w:rsid w:val="001A5A3A"/>
    <w:rsid w:val="001A608B"/>
    <w:rsid w:val="001A60BF"/>
    <w:rsid w:val="001A6A2D"/>
    <w:rsid w:val="001A6BC5"/>
    <w:rsid w:val="001A6F4D"/>
    <w:rsid w:val="001B05DA"/>
    <w:rsid w:val="001B18D5"/>
    <w:rsid w:val="001B1A34"/>
    <w:rsid w:val="001B1F21"/>
    <w:rsid w:val="001B2DFA"/>
    <w:rsid w:val="001B36A4"/>
    <w:rsid w:val="001C00B9"/>
    <w:rsid w:val="001C0517"/>
    <w:rsid w:val="001C0737"/>
    <w:rsid w:val="001C0B06"/>
    <w:rsid w:val="001C1429"/>
    <w:rsid w:val="001C21A5"/>
    <w:rsid w:val="001C3571"/>
    <w:rsid w:val="001C391E"/>
    <w:rsid w:val="001C3A9A"/>
    <w:rsid w:val="001C3E84"/>
    <w:rsid w:val="001C4352"/>
    <w:rsid w:val="001C4DA6"/>
    <w:rsid w:val="001C5059"/>
    <w:rsid w:val="001C518D"/>
    <w:rsid w:val="001C520A"/>
    <w:rsid w:val="001C5360"/>
    <w:rsid w:val="001C5C6A"/>
    <w:rsid w:val="001C5E3B"/>
    <w:rsid w:val="001C76A8"/>
    <w:rsid w:val="001C77D9"/>
    <w:rsid w:val="001D059E"/>
    <w:rsid w:val="001D1590"/>
    <w:rsid w:val="001D19D1"/>
    <w:rsid w:val="001D23AA"/>
    <w:rsid w:val="001D2BF0"/>
    <w:rsid w:val="001D2D07"/>
    <w:rsid w:val="001D34BC"/>
    <w:rsid w:val="001D380E"/>
    <w:rsid w:val="001D3DC1"/>
    <w:rsid w:val="001D3E0D"/>
    <w:rsid w:val="001D4433"/>
    <w:rsid w:val="001D4572"/>
    <w:rsid w:val="001D4E1B"/>
    <w:rsid w:val="001D533E"/>
    <w:rsid w:val="001D5EB7"/>
    <w:rsid w:val="001D6946"/>
    <w:rsid w:val="001E089A"/>
    <w:rsid w:val="001E11F6"/>
    <w:rsid w:val="001E26AA"/>
    <w:rsid w:val="001E2923"/>
    <w:rsid w:val="001E29DE"/>
    <w:rsid w:val="001E2F8E"/>
    <w:rsid w:val="001E31F6"/>
    <w:rsid w:val="001E3411"/>
    <w:rsid w:val="001E3B8B"/>
    <w:rsid w:val="001E3CB3"/>
    <w:rsid w:val="001E3EE4"/>
    <w:rsid w:val="001E4ACD"/>
    <w:rsid w:val="001E4B3C"/>
    <w:rsid w:val="001E538E"/>
    <w:rsid w:val="001E5F29"/>
    <w:rsid w:val="001E66FF"/>
    <w:rsid w:val="001E7483"/>
    <w:rsid w:val="001E758A"/>
    <w:rsid w:val="001E7F78"/>
    <w:rsid w:val="001F0DA0"/>
    <w:rsid w:val="001F0E6D"/>
    <w:rsid w:val="001F12F4"/>
    <w:rsid w:val="001F13DF"/>
    <w:rsid w:val="001F19C3"/>
    <w:rsid w:val="001F1BE2"/>
    <w:rsid w:val="001F31F9"/>
    <w:rsid w:val="001F33AD"/>
    <w:rsid w:val="001F4948"/>
    <w:rsid w:val="001F525A"/>
    <w:rsid w:val="001F5304"/>
    <w:rsid w:val="001F5F8D"/>
    <w:rsid w:val="001F73A1"/>
    <w:rsid w:val="001F7788"/>
    <w:rsid w:val="001F7ACA"/>
    <w:rsid w:val="002000E0"/>
    <w:rsid w:val="00200411"/>
    <w:rsid w:val="00200BA8"/>
    <w:rsid w:val="0020112A"/>
    <w:rsid w:val="00201135"/>
    <w:rsid w:val="0020197F"/>
    <w:rsid w:val="00202B56"/>
    <w:rsid w:val="0020309C"/>
    <w:rsid w:val="00203BD0"/>
    <w:rsid w:val="00203CBE"/>
    <w:rsid w:val="00204623"/>
    <w:rsid w:val="00204989"/>
    <w:rsid w:val="0020542E"/>
    <w:rsid w:val="00205D13"/>
    <w:rsid w:val="00207900"/>
    <w:rsid w:val="00207A4C"/>
    <w:rsid w:val="002107FD"/>
    <w:rsid w:val="00210DAF"/>
    <w:rsid w:val="002110EC"/>
    <w:rsid w:val="00212216"/>
    <w:rsid w:val="00212E91"/>
    <w:rsid w:val="0021393E"/>
    <w:rsid w:val="00214A3B"/>
    <w:rsid w:val="00214C06"/>
    <w:rsid w:val="00214D47"/>
    <w:rsid w:val="00215112"/>
    <w:rsid w:val="00215298"/>
    <w:rsid w:val="00215414"/>
    <w:rsid w:val="00215D7E"/>
    <w:rsid w:val="00216AD9"/>
    <w:rsid w:val="002178EE"/>
    <w:rsid w:val="00217B8A"/>
    <w:rsid w:val="002201E0"/>
    <w:rsid w:val="00220744"/>
    <w:rsid w:val="0022085F"/>
    <w:rsid w:val="002209D4"/>
    <w:rsid w:val="002217DE"/>
    <w:rsid w:val="00221FA5"/>
    <w:rsid w:val="00222796"/>
    <w:rsid w:val="00222D68"/>
    <w:rsid w:val="002232EA"/>
    <w:rsid w:val="002233B4"/>
    <w:rsid w:val="00223678"/>
    <w:rsid w:val="00223C78"/>
    <w:rsid w:val="0022445D"/>
    <w:rsid w:val="00224852"/>
    <w:rsid w:val="002268FE"/>
    <w:rsid w:val="00226F1A"/>
    <w:rsid w:val="002275A2"/>
    <w:rsid w:val="00230BF8"/>
    <w:rsid w:val="00230DCB"/>
    <w:rsid w:val="00231674"/>
    <w:rsid w:val="002318E8"/>
    <w:rsid w:val="00231AB2"/>
    <w:rsid w:val="00231ED9"/>
    <w:rsid w:val="002321E3"/>
    <w:rsid w:val="00232E0A"/>
    <w:rsid w:val="002333F5"/>
    <w:rsid w:val="00233DA1"/>
    <w:rsid w:val="00236263"/>
    <w:rsid w:val="00236CDA"/>
    <w:rsid w:val="00236D34"/>
    <w:rsid w:val="00237780"/>
    <w:rsid w:val="00237AE7"/>
    <w:rsid w:val="00237B0E"/>
    <w:rsid w:val="00237BE5"/>
    <w:rsid w:val="00237F0E"/>
    <w:rsid w:val="00237FDB"/>
    <w:rsid w:val="0024183C"/>
    <w:rsid w:val="00242280"/>
    <w:rsid w:val="00242478"/>
    <w:rsid w:val="00242867"/>
    <w:rsid w:val="0024391E"/>
    <w:rsid w:val="00243D29"/>
    <w:rsid w:val="00243D8E"/>
    <w:rsid w:val="00244225"/>
    <w:rsid w:val="00244525"/>
    <w:rsid w:val="00244546"/>
    <w:rsid w:val="0024472E"/>
    <w:rsid w:val="00244BA6"/>
    <w:rsid w:val="00245712"/>
    <w:rsid w:val="00245BF2"/>
    <w:rsid w:val="00245D7C"/>
    <w:rsid w:val="00246E4F"/>
    <w:rsid w:val="00247AA0"/>
    <w:rsid w:val="002500EA"/>
    <w:rsid w:val="002508EC"/>
    <w:rsid w:val="00250BFE"/>
    <w:rsid w:val="00250D12"/>
    <w:rsid w:val="00253B0F"/>
    <w:rsid w:val="00254640"/>
    <w:rsid w:val="00256437"/>
    <w:rsid w:val="00256AE7"/>
    <w:rsid w:val="00257C43"/>
    <w:rsid w:val="0026020E"/>
    <w:rsid w:val="00261454"/>
    <w:rsid w:val="0026150E"/>
    <w:rsid w:val="00262008"/>
    <w:rsid w:val="002621DD"/>
    <w:rsid w:val="0026285D"/>
    <w:rsid w:val="00263092"/>
    <w:rsid w:val="00263DE5"/>
    <w:rsid w:val="0026502A"/>
    <w:rsid w:val="0026557F"/>
    <w:rsid w:val="00265603"/>
    <w:rsid w:val="00265C77"/>
    <w:rsid w:val="00265CFD"/>
    <w:rsid w:val="002662CF"/>
    <w:rsid w:val="0026650F"/>
    <w:rsid w:val="00266F5F"/>
    <w:rsid w:val="00267149"/>
    <w:rsid w:val="00267AE9"/>
    <w:rsid w:val="00267C6D"/>
    <w:rsid w:val="00270158"/>
    <w:rsid w:val="00270A9B"/>
    <w:rsid w:val="00270AD2"/>
    <w:rsid w:val="00270DC4"/>
    <w:rsid w:val="00270E9C"/>
    <w:rsid w:val="00271D36"/>
    <w:rsid w:val="002732CA"/>
    <w:rsid w:val="00273C4F"/>
    <w:rsid w:val="00273FB5"/>
    <w:rsid w:val="00274010"/>
    <w:rsid w:val="002741F6"/>
    <w:rsid w:val="002743AF"/>
    <w:rsid w:val="002743B2"/>
    <w:rsid w:val="002745C8"/>
    <w:rsid w:val="00274AC8"/>
    <w:rsid w:val="00274B02"/>
    <w:rsid w:val="00274B72"/>
    <w:rsid w:val="00274D76"/>
    <w:rsid w:val="00274E66"/>
    <w:rsid w:val="00274EAF"/>
    <w:rsid w:val="00275267"/>
    <w:rsid w:val="002765E6"/>
    <w:rsid w:val="002768CC"/>
    <w:rsid w:val="00277753"/>
    <w:rsid w:val="0028190C"/>
    <w:rsid w:val="0028235A"/>
    <w:rsid w:val="0028241F"/>
    <w:rsid w:val="0028264F"/>
    <w:rsid w:val="00282A7B"/>
    <w:rsid w:val="00282D11"/>
    <w:rsid w:val="00282DFA"/>
    <w:rsid w:val="00282F62"/>
    <w:rsid w:val="00283135"/>
    <w:rsid w:val="00283ABC"/>
    <w:rsid w:val="002840B6"/>
    <w:rsid w:val="0028428A"/>
    <w:rsid w:val="00285321"/>
    <w:rsid w:val="0028593A"/>
    <w:rsid w:val="0028617A"/>
    <w:rsid w:val="00287AD0"/>
    <w:rsid w:val="00287C0B"/>
    <w:rsid w:val="00287E24"/>
    <w:rsid w:val="00287EF1"/>
    <w:rsid w:val="002905DA"/>
    <w:rsid w:val="0029126C"/>
    <w:rsid w:val="002913BE"/>
    <w:rsid w:val="00292563"/>
    <w:rsid w:val="00293B91"/>
    <w:rsid w:val="00294ECA"/>
    <w:rsid w:val="002957CD"/>
    <w:rsid w:val="0029597E"/>
    <w:rsid w:val="00296972"/>
    <w:rsid w:val="00297394"/>
    <w:rsid w:val="0029742A"/>
    <w:rsid w:val="00297912"/>
    <w:rsid w:val="00297A97"/>
    <w:rsid w:val="00297AEA"/>
    <w:rsid w:val="00297D27"/>
    <w:rsid w:val="002A0D0D"/>
    <w:rsid w:val="002A1785"/>
    <w:rsid w:val="002A2922"/>
    <w:rsid w:val="002A2D85"/>
    <w:rsid w:val="002A2ECE"/>
    <w:rsid w:val="002A323F"/>
    <w:rsid w:val="002A3DA4"/>
    <w:rsid w:val="002A49EE"/>
    <w:rsid w:val="002A4CAA"/>
    <w:rsid w:val="002A5E11"/>
    <w:rsid w:val="002A6FDA"/>
    <w:rsid w:val="002A711C"/>
    <w:rsid w:val="002B085A"/>
    <w:rsid w:val="002B0945"/>
    <w:rsid w:val="002B0C27"/>
    <w:rsid w:val="002B1360"/>
    <w:rsid w:val="002B16BE"/>
    <w:rsid w:val="002B17A9"/>
    <w:rsid w:val="002B183F"/>
    <w:rsid w:val="002B3135"/>
    <w:rsid w:val="002B3500"/>
    <w:rsid w:val="002B3925"/>
    <w:rsid w:val="002B4B2C"/>
    <w:rsid w:val="002B53F8"/>
    <w:rsid w:val="002B5446"/>
    <w:rsid w:val="002B584A"/>
    <w:rsid w:val="002B5A1F"/>
    <w:rsid w:val="002B5A33"/>
    <w:rsid w:val="002B65D1"/>
    <w:rsid w:val="002B792E"/>
    <w:rsid w:val="002B7F94"/>
    <w:rsid w:val="002C1471"/>
    <w:rsid w:val="002C282E"/>
    <w:rsid w:val="002C36FA"/>
    <w:rsid w:val="002C49A8"/>
    <w:rsid w:val="002C598C"/>
    <w:rsid w:val="002C5AFD"/>
    <w:rsid w:val="002C5FF2"/>
    <w:rsid w:val="002C6EE1"/>
    <w:rsid w:val="002C7F03"/>
    <w:rsid w:val="002D0CE0"/>
    <w:rsid w:val="002D0D7B"/>
    <w:rsid w:val="002D0D92"/>
    <w:rsid w:val="002D0E26"/>
    <w:rsid w:val="002D0E8D"/>
    <w:rsid w:val="002D11ED"/>
    <w:rsid w:val="002D1393"/>
    <w:rsid w:val="002D1860"/>
    <w:rsid w:val="002D21E3"/>
    <w:rsid w:val="002D2926"/>
    <w:rsid w:val="002D3271"/>
    <w:rsid w:val="002D4236"/>
    <w:rsid w:val="002D4497"/>
    <w:rsid w:val="002D45B0"/>
    <w:rsid w:val="002D467E"/>
    <w:rsid w:val="002D4EF1"/>
    <w:rsid w:val="002D5046"/>
    <w:rsid w:val="002D60EB"/>
    <w:rsid w:val="002D6229"/>
    <w:rsid w:val="002D63E5"/>
    <w:rsid w:val="002D67F2"/>
    <w:rsid w:val="002D6CBF"/>
    <w:rsid w:val="002D7264"/>
    <w:rsid w:val="002D7328"/>
    <w:rsid w:val="002D7556"/>
    <w:rsid w:val="002E12F4"/>
    <w:rsid w:val="002E25FF"/>
    <w:rsid w:val="002E308F"/>
    <w:rsid w:val="002E44AB"/>
    <w:rsid w:val="002E507B"/>
    <w:rsid w:val="002E5132"/>
    <w:rsid w:val="002E5201"/>
    <w:rsid w:val="002E53BF"/>
    <w:rsid w:val="002E53DF"/>
    <w:rsid w:val="002E5DAD"/>
    <w:rsid w:val="002E6445"/>
    <w:rsid w:val="002E6AB2"/>
    <w:rsid w:val="002E776F"/>
    <w:rsid w:val="002E791A"/>
    <w:rsid w:val="002E7B39"/>
    <w:rsid w:val="002E7CFE"/>
    <w:rsid w:val="002F0F9D"/>
    <w:rsid w:val="002F13DC"/>
    <w:rsid w:val="002F1846"/>
    <w:rsid w:val="002F26F3"/>
    <w:rsid w:val="002F2923"/>
    <w:rsid w:val="002F2B97"/>
    <w:rsid w:val="002F3B19"/>
    <w:rsid w:val="002F52B6"/>
    <w:rsid w:val="002F53A3"/>
    <w:rsid w:val="002F61AC"/>
    <w:rsid w:val="002F7575"/>
    <w:rsid w:val="002F79E8"/>
    <w:rsid w:val="0030049A"/>
    <w:rsid w:val="003008D4"/>
    <w:rsid w:val="00302193"/>
    <w:rsid w:val="0030259E"/>
    <w:rsid w:val="00302744"/>
    <w:rsid w:val="0030349B"/>
    <w:rsid w:val="00303542"/>
    <w:rsid w:val="003035C4"/>
    <w:rsid w:val="0030408E"/>
    <w:rsid w:val="00304EC0"/>
    <w:rsid w:val="00305E05"/>
    <w:rsid w:val="0030658E"/>
    <w:rsid w:val="00306C81"/>
    <w:rsid w:val="00307BA6"/>
    <w:rsid w:val="00310D32"/>
    <w:rsid w:val="003115E5"/>
    <w:rsid w:val="003124D7"/>
    <w:rsid w:val="003125CC"/>
    <w:rsid w:val="00312AFF"/>
    <w:rsid w:val="003131AC"/>
    <w:rsid w:val="00313550"/>
    <w:rsid w:val="00314D58"/>
    <w:rsid w:val="00314F1D"/>
    <w:rsid w:val="003157E0"/>
    <w:rsid w:val="00316141"/>
    <w:rsid w:val="003164B1"/>
    <w:rsid w:val="00316577"/>
    <w:rsid w:val="00317002"/>
    <w:rsid w:val="00317CC7"/>
    <w:rsid w:val="00320050"/>
    <w:rsid w:val="003200C4"/>
    <w:rsid w:val="00320226"/>
    <w:rsid w:val="00320991"/>
    <w:rsid w:val="003209DD"/>
    <w:rsid w:val="00320B81"/>
    <w:rsid w:val="00320FFC"/>
    <w:rsid w:val="00321C46"/>
    <w:rsid w:val="00322070"/>
    <w:rsid w:val="0032271F"/>
    <w:rsid w:val="00322C47"/>
    <w:rsid w:val="00323452"/>
    <w:rsid w:val="00323688"/>
    <w:rsid w:val="00323A0B"/>
    <w:rsid w:val="0032418A"/>
    <w:rsid w:val="003254EA"/>
    <w:rsid w:val="003260A5"/>
    <w:rsid w:val="003260E0"/>
    <w:rsid w:val="00326649"/>
    <w:rsid w:val="00326A74"/>
    <w:rsid w:val="00327949"/>
    <w:rsid w:val="003300E3"/>
    <w:rsid w:val="0033064A"/>
    <w:rsid w:val="0033125A"/>
    <w:rsid w:val="00331B5D"/>
    <w:rsid w:val="00331B76"/>
    <w:rsid w:val="00332777"/>
    <w:rsid w:val="003332BB"/>
    <w:rsid w:val="00333576"/>
    <w:rsid w:val="003337B9"/>
    <w:rsid w:val="003338E8"/>
    <w:rsid w:val="00333ED2"/>
    <w:rsid w:val="003356DE"/>
    <w:rsid w:val="00335F59"/>
    <w:rsid w:val="00336422"/>
    <w:rsid w:val="00336798"/>
    <w:rsid w:val="00336CAA"/>
    <w:rsid w:val="003371C8"/>
    <w:rsid w:val="00337308"/>
    <w:rsid w:val="0034019C"/>
    <w:rsid w:val="003403C8"/>
    <w:rsid w:val="003404B9"/>
    <w:rsid w:val="00340A0B"/>
    <w:rsid w:val="00340A0E"/>
    <w:rsid w:val="0034163D"/>
    <w:rsid w:val="00343C5A"/>
    <w:rsid w:val="00343EC6"/>
    <w:rsid w:val="00343F01"/>
    <w:rsid w:val="003445D1"/>
    <w:rsid w:val="0034498E"/>
    <w:rsid w:val="00345FAA"/>
    <w:rsid w:val="00346992"/>
    <w:rsid w:val="00346F81"/>
    <w:rsid w:val="003470C4"/>
    <w:rsid w:val="00347D49"/>
    <w:rsid w:val="00350742"/>
    <w:rsid w:val="00350B90"/>
    <w:rsid w:val="0035116B"/>
    <w:rsid w:val="00351252"/>
    <w:rsid w:val="00351527"/>
    <w:rsid w:val="0035172A"/>
    <w:rsid w:val="003522DF"/>
    <w:rsid w:val="003525C3"/>
    <w:rsid w:val="00353607"/>
    <w:rsid w:val="00353C2A"/>
    <w:rsid w:val="00354B49"/>
    <w:rsid w:val="00354E3E"/>
    <w:rsid w:val="003559F4"/>
    <w:rsid w:val="00355AF7"/>
    <w:rsid w:val="00355BB0"/>
    <w:rsid w:val="00356889"/>
    <w:rsid w:val="00356AED"/>
    <w:rsid w:val="00356B08"/>
    <w:rsid w:val="003573ED"/>
    <w:rsid w:val="00357A48"/>
    <w:rsid w:val="00357CC5"/>
    <w:rsid w:val="00357DDB"/>
    <w:rsid w:val="00360009"/>
    <w:rsid w:val="00360060"/>
    <w:rsid w:val="00360490"/>
    <w:rsid w:val="0036066D"/>
    <w:rsid w:val="00360DAD"/>
    <w:rsid w:val="0036176F"/>
    <w:rsid w:val="00361B17"/>
    <w:rsid w:val="00361E2A"/>
    <w:rsid w:val="00362F4B"/>
    <w:rsid w:val="0036395F"/>
    <w:rsid w:val="00364074"/>
    <w:rsid w:val="00364176"/>
    <w:rsid w:val="003645F8"/>
    <w:rsid w:val="003650A1"/>
    <w:rsid w:val="00365312"/>
    <w:rsid w:val="003661EB"/>
    <w:rsid w:val="00366720"/>
    <w:rsid w:val="00366B25"/>
    <w:rsid w:val="00367D31"/>
    <w:rsid w:val="003701D1"/>
    <w:rsid w:val="00370A73"/>
    <w:rsid w:val="003715C3"/>
    <w:rsid w:val="00371CC4"/>
    <w:rsid w:val="0037205D"/>
    <w:rsid w:val="00373002"/>
    <w:rsid w:val="003731A9"/>
    <w:rsid w:val="00373E7B"/>
    <w:rsid w:val="00374194"/>
    <w:rsid w:val="00374CAB"/>
    <w:rsid w:val="00375288"/>
    <w:rsid w:val="00375C8A"/>
    <w:rsid w:val="00375E2E"/>
    <w:rsid w:val="003766A3"/>
    <w:rsid w:val="0037683D"/>
    <w:rsid w:val="00377861"/>
    <w:rsid w:val="0038018A"/>
    <w:rsid w:val="003804C6"/>
    <w:rsid w:val="0038075F"/>
    <w:rsid w:val="003808DB"/>
    <w:rsid w:val="00381720"/>
    <w:rsid w:val="00381C01"/>
    <w:rsid w:val="003830DC"/>
    <w:rsid w:val="00383AF0"/>
    <w:rsid w:val="00383F4F"/>
    <w:rsid w:val="003841E0"/>
    <w:rsid w:val="0038435C"/>
    <w:rsid w:val="003844CF"/>
    <w:rsid w:val="003847DF"/>
    <w:rsid w:val="0038483B"/>
    <w:rsid w:val="00385D34"/>
    <w:rsid w:val="00386722"/>
    <w:rsid w:val="003878F0"/>
    <w:rsid w:val="00391000"/>
    <w:rsid w:val="003915C1"/>
    <w:rsid w:val="003921B0"/>
    <w:rsid w:val="00392430"/>
    <w:rsid w:val="0039389C"/>
    <w:rsid w:val="0039430B"/>
    <w:rsid w:val="00394339"/>
    <w:rsid w:val="00394524"/>
    <w:rsid w:val="00394731"/>
    <w:rsid w:val="00394803"/>
    <w:rsid w:val="00394A9C"/>
    <w:rsid w:val="00394F75"/>
    <w:rsid w:val="00394FD8"/>
    <w:rsid w:val="003951EA"/>
    <w:rsid w:val="003957EF"/>
    <w:rsid w:val="00395858"/>
    <w:rsid w:val="00396240"/>
    <w:rsid w:val="0039657D"/>
    <w:rsid w:val="00397A0E"/>
    <w:rsid w:val="003A05BB"/>
    <w:rsid w:val="003A0A27"/>
    <w:rsid w:val="003A17FD"/>
    <w:rsid w:val="003A35C6"/>
    <w:rsid w:val="003A3959"/>
    <w:rsid w:val="003A3AAF"/>
    <w:rsid w:val="003A4130"/>
    <w:rsid w:val="003A48A9"/>
    <w:rsid w:val="003A54BC"/>
    <w:rsid w:val="003A614D"/>
    <w:rsid w:val="003A63A7"/>
    <w:rsid w:val="003A72A6"/>
    <w:rsid w:val="003A7CB9"/>
    <w:rsid w:val="003B06AB"/>
    <w:rsid w:val="003B0796"/>
    <w:rsid w:val="003B0E06"/>
    <w:rsid w:val="003B1050"/>
    <w:rsid w:val="003B16EC"/>
    <w:rsid w:val="003B1804"/>
    <w:rsid w:val="003B187E"/>
    <w:rsid w:val="003B1A3B"/>
    <w:rsid w:val="003B30B2"/>
    <w:rsid w:val="003B3C96"/>
    <w:rsid w:val="003B3FAC"/>
    <w:rsid w:val="003B4021"/>
    <w:rsid w:val="003B4337"/>
    <w:rsid w:val="003B4526"/>
    <w:rsid w:val="003B47A5"/>
    <w:rsid w:val="003B4A1D"/>
    <w:rsid w:val="003B4EC1"/>
    <w:rsid w:val="003B523D"/>
    <w:rsid w:val="003B5728"/>
    <w:rsid w:val="003B5888"/>
    <w:rsid w:val="003B5F6B"/>
    <w:rsid w:val="003B60A8"/>
    <w:rsid w:val="003B628E"/>
    <w:rsid w:val="003B6386"/>
    <w:rsid w:val="003B6BD6"/>
    <w:rsid w:val="003B6FFA"/>
    <w:rsid w:val="003B71BF"/>
    <w:rsid w:val="003B7523"/>
    <w:rsid w:val="003C1789"/>
    <w:rsid w:val="003C2C8D"/>
    <w:rsid w:val="003C30A2"/>
    <w:rsid w:val="003C358B"/>
    <w:rsid w:val="003C4D17"/>
    <w:rsid w:val="003C57A6"/>
    <w:rsid w:val="003C61C4"/>
    <w:rsid w:val="003D0BA8"/>
    <w:rsid w:val="003D0E17"/>
    <w:rsid w:val="003D0E88"/>
    <w:rsid w:val="003D1881"/>
    <w:rsid w:val="003D1B9B"/>
    <w:rsid w:val="003D2854"/>
    <w:rsid w:val="003D2A82"/>
    <w:rsid w:val="003D2C61"/>
    <w:rsid w:val="003D372B"/>
    <w:rsid w:val="003D37B6"/>
    <w:rsid w:val="003D397D"/>
    <w:rsid w:val="003D41C0"/>
    <w:rsid w:val="003D5897"/>
    <w:rsid w:val="003D59C4"/>
    <w:rsid w:val="003E012B"/>
    <w:rsid w:val="003E053F"/>
    <w:rsid w:val="003E0889"/>
    <w:rsid w:val="003E0BF8"/>
    <w:rsid w:val="003E108A"/>
    <w:rsid w:val="003E21A7"/>
    <w:rsid w:val="003E22BE"/>
    <w:rsid w:val="003E2534"/>
    <w:rsid w:val="003E2BD6"/>
    <w:rsid w:val="003E33C7"/>
    <w:rsid w:val="003E379D"/>
    <w:rsid w:val="003E3A30"/>
    <w:rsid w:val="003E3BA8"/>
    <w:rsid w:val="003E4453"/>
    <w:rsid w:val="003E4A52"/>
    <w:rsid w:val="003E4B94"/>
    <w:rsid w:val="003E4CBD"/>
    <w:rsid w:val="003E553C"/>
    <w:rsid w:val="003E5C02"/>
    <w:rsid w:val="003E67E7"/>
    <w:rsid w:val="003E6ED7"/>
    <w:rsid w:val="003E7390"/>
    <w:rsid w:val="003F0494"/>
    <w:rsid w:val="003F0AA5"/>
    <w:rsid w:val="003F14BB"/>
    <w:rsid w:val="003F14CB"/>
    <w:rsid w:val="003F1F02"/>
    <w:rsid w:val="003F20F4"/>
    <w:rsid w:val="003F236F"/>
    <w:rsid w:val="003F2DAD"/>
    <w:rsid w:val="003F2FAB"/>
    <w:rsid w:val="003F404F"/>
    <w:rsid w:val="003F4C39"/>
    <w:rsid w:val="003F5084"/>
    <w:rsid w:val="003F50BF"/>
    <w:rsid w:val="003F50E0"/>
    <w:rsid w:val="003F565F"/>
    <w:rsid w:val="003F614E"/>
    <w:rsid w:val="003F63F5"/>
    <w:rsid w:val="003F6F63"/>
    <w:rsid w:val="003F71BB"/>
    <w:rsid w:val="003F71D7"/>
    <w:rsid w:val="004011C1"/>
    <w:rsid w:val="004012B1"/>
    <w:rsid w:val="004016B3"/>
    <w:rsid w:val="0040200B"/>
    <w:rsid w:val="00402E8D"/>
    <w:rsid w:val="00403971"/>
    <w:rsid w:val="00404327"/>
    <w:rsid w:val="00405927"/>
    <w:rsid w:val="00405C29"/>
    <w:rsid w:val="00405FD6"/>
    <w:rsid w:val="004060EA"/>
    <w:rsid w:val="00406F28"/>
    <w:rsid w:val="004070DB"/>
    <w:rsid w:val="0041166F"/>
    <w:rsid w:val="00411A1F"/>
    <w:rsid w:val="00411A31"/>
    <w:rsid w:val="00411A5F"/>
    <w:rsid w:val="00412733"/>
    <w:rsid w:val="004137B2"/>
    <w:rsid w:val="00413FFB"/>
    <w:rsid w:val="00414D6C"/>
    <w:rsid w:val="00415494"/>
    <w:rsid w:val="004158A0"/>
    <w:rsid w:val="00416F1C"/>
    <w:rsid w:val="0041762C"/>
    <w:rsid w:val="004208F5"/>
    <w:rsid w:val="0042098A"/>
    <w:rsid w:val="0042122D"/>
    <w:rsid w:val="004214F3"/>
    <w:rsid w:val="0042211D"/>
    <w:rsid w:val="004226FC"/>
    <w:rsid w:val="004231EC"/>
    <w:rsid w:val="00423BD2"/>
    <w:rsid w:val="00424701"/>
    <w:rsid w:val="00424B0A"/>
    <w:rsid w:val="00424EBE"/>
    <w:rsid w:val="00425381"/>
    <w:rsid w:val="00425C6C"/>
    <w:rsid w:val="00425E6B"/>
    <w:rsid w:val="0042726B"/>
    <w:rsid w:val="00430BDD"/>
    <w:rsid w:val="00430C01"/>
    <w:rsid w:val="00430E72"/>
    <w:rsid w:val="00431725"/>
    <w:rsid w:val="00431B40"/>
    <w:rsid w:val="00431DBD"/>
    <w:rsid w:val="004326FC"/>
    <w:rsid w:val="004327A5"/>
    <w:rsid w:val="00432A6A"/>
    <w:rsid w:val="00432F7F"/>
    <w:rsid w:val="004330F8"/>
    <w:rsid w:val="00433C3F"/>
    <w:rsid w:val="00433C44"/>
    <w:rsid w:val="00433F43"/>
    <w:rsid w:val="00435964"/>
    <w:rsid w:val="00435A8E"/>
    <w:rsid w:val="00435B7F"/>
    <w:rsid w:val="00436087"/>
    <w:rsid w:val="00437D0A"/>
    <w:rsid w:val="00437F2E"/>
    <w:rsid w:val="0044046F"/>
    <w:rsid w:val="004409AE"/>
    <w:rsid w:val="00441793"/>
    <w:rsid w:val="004418F5"/>
    <w:rsid w:val="00441DF7"/>
    <w:rsid w:val="00442590"/>
    <w:rsid w:val="00442603"/>
    <w:rsid w:val="00442BA9"/>
    <w:rsid w:val="00443607"/>
    <w:rsid w:val="00443B71"/>
    <w:rsid w:val="00443C1B"/>
    <w:rsid w:val="00443F47"/>
    <w:rsid w:val="004446A9"/>
    <w:rsid w:val="00445345"/>
    <w:rsid w:val="00445B74"/>
    <w:rsid w:val="00445C16"/>
    <w:rsid w:val="00445C5C"/>
    <w:rsid w:val="0044631D"/>
    <w:rsid w:val="00446D6E"/>
    <w:rsid w:val="004477CA"/>
    <w:rsid w:val="00450DFA"/>
    <w:rsid w:val="00451DD6"/>
    <w:rsid w:val="004524BC"/>
    <w:rsid w:val="004527FE"/>
    <w:rsid w:val="00453652"/>
    <w:rsid w:val="00453D59"/>
    <w:rsid w:val="00454805"/>
    <w:rsid w:val="0045488A"/>
    <w:rsid w:val="004554FE"/>
    <w:rsid w:val="004555A4"/>
    <w:rsid w:val="004563B9"/>
    <w:rsid w:val="0045690F"/>
    <w:rsid w:val="00457602"/>
    <w:rsid w:val="0046008C"/>
    <w:rsid w:val="004608C9"/>
    <w:rsid w:val="00460BFB"/>
    <w:rsid w:val="004615C3"/>
    <w:rsid w:val="004624F3"/>
    <w:rsid w:val="00462709"/>
    <w:rsid w:val="00462973"/>
    <w:rsid w:val="00463CEB"/>
    <w:rsid w:val="0046476F"/>
    <w:rsid w:val="00464790"/>
    <w:rsid w:val="004651AA"/>
    <w:rsid w:val="004660B6"/>
    <w:rsid w:val="00467A64"/>
    <w:rsid w:val="00470A8C"/>
    <w:rsid w:val="004710FA"/>
    <w:rsid w:val="0047163D"/>
    <w:rsid w:val="00471785"/>
    <w:rsid w:val="00471DE3"/>
    <w:rsid w:val="00472440"/>
    <w:rsid w:val="00472582"/>
    <w:rsid w:val="00472CE5"/>
    <w:rsid w:val="00472F54"/>
    <w:rsid w:val="004732A8"/>
    <w:rsid w:val="004749CE"/>
    <w:rsid w:val="00475854"/>
    <w:rsid w:val="004763E1"/>
    <w:rsid w:val="0047645E"/>
    <w:rsid w:val="00476C87"/>
    <w:rsid w:val="00477016"/>
    <w:rsid w:val="004771C2"/>
    <w:rsid w:val="00477A13"/>
    <w:rsid w:val="00480853"/>
    <w:rsid w:val="00480CB3"/>
    <w:rsid w:val="004810F8"/>
    <w:rsid w:val="0048181A"/>
    <w:rsid w:val="00482BE0"/>
    <w:rsid w:val="00482CCF"/>
    <w:rsid w:val="0048355A"/>
    <w:rsid w:val="004848D0"/>
    <w:rsid w:val="00484B35"/>
    <w:rsid w:val="00484C6C"/>
    <w:rsid w:val="0048547C"/>
    <w:rsid w:val="00485491"/>
    <w:rsid w:val="004854A7"/>
    <w:rsid w:val="004859D4"/>
    <w:rsid w:val="00485DE0"/>
    <w:rsid w:val="00486615"/>
    <w:rsid w:val="00486CF5"/>
    <w:rsid w:val="004872F5"/>
    <w:rsid w:val="00487982"/>
    <w:rsid w:val="00490540"/>
    <w:rsid w:val="004906DF"/>
    <w:rsid w:val="00490986"/>
    <w:rsid w:val="0049102A"/>
    <w:rsid w:val="00491792"/>
    <w:rsid w:val="0049209F"/>
    <w:rsid w:val="004930F1"/>
    <w:rsid w:val="00493108"/>
    <w:rsid w:val="004937B2"/>
    <w:rsid w:val="004939D9"/>
    <w:rsid w:val="00493D7F"/>
    <w:rsid w:val="004947AA"/>
    <w:rsid w:val="00494890"/>
    <w:rsid w:val="004953CC"/>
    <w:rsid w:val="0049588C"/>
    <w:rsid w:val="00495A79"/>
    <w:rsid w:val="00495E8E"/>
    <w:rsid w:val="00497F4A"/>
    <w:rsid w:val="004A04D2"/>
    <w:rsid w:val="004A04F5"/>
    <w:rsid w:val="004A07A8"/>
    <w:rsid w:val="004A0FF2"/>
    <w:rsid w:val="004A10FF"/>
    <w:rsid w:val="004A12DD"/>
    <w:rsid w:val="004A16C5"/>
    <w:rsid w:val="004A24ED"/>
    <w:rsid w:val="004A259F"/>
    <w:rsid w:val="004A2F05"/>
    <w:rsid w:val="004A3208"/>
    <w:rsid w:val="004A37A5"/>
    <w:rsid w:val="004A4D14"/>
    <w:rsid w:val="004A5512"/>
    <w:rsid w:val="004A577D"/>
    <w:rsid w:val="004A5D88"/>
    <w:rsid w:val="004A68C4"/>
    <w:rsid w:val="004A6ECA"/>
    <w:rsid w:val="004A740E"/>
    <w:rsid w:val="004A773E"/>
    <w:rsid w:val="004A7A76"/>
    <w:rsid w:val="004A7C49"/>
    <w:rsid w:val="004B062D"/>
    <w:rsid w:val="004B1052"/>
    <w:rsid w:val="004B1364"/>
    <w:rsid w:val="004B1EAB"/>
    <w:rsid w:val="004B2891"/>
    <w:rsid w:val="004B2F50"/>
    <w:rsid w:val="004B3B43"/>
    <w:rsid w:val="004B4AFF"/>
    <w:rsid w:val="004B5123"/>
    <w:rsid w:val="004B51FD"/>
    <w:rsid w:val="004B56AA"/>
    <w:rsid w:val="004B5F83"/>
    <w:rsid w:val="004B5FB9"/>
    <w:rsid w:val="004B6C7C"/>
    <w:rsid w:val="004B74EF"/>
    <w:rsid w:val="004B7D46"/>
    <w:rsid w:val="004C0090"/>
    <w:rsid w:val="004C1666"/>
    <w:rsid w:val="004C1868"/>
    <w:rsid w:val="004C1F31"/>
    <w:rsid w:val="004C1FB8"/>
    <w:rsid w:val="004C200C"/>
    <w:rsid w:val="004C20D4"/>
    <w:rsid w:val="004C2DAE"/>
    <w:rsid w:val="004C38C7"/>
    <w:rsid w:val="004C4F03"/>
    <w:rsid w:val="004C5F61"/>
    <w:rsid w:val="004C62D6"/>
    <w:rsid w:val="004C63A1"/>
    <w:rsid w:val="004C6E59"/>
    <w:rsid w:val="004D01D7"/>
    <w:rsid w:val="004D0915"/>
    <w:rsid w:val="004D0DAE"/>
    <w:rsid w:val="004D101B"/>
    <w:rsid w:val="004D1B98"/>
    <w:rsid w:val="004D2DB3"/>
    <w:rsid w:val="004D2DF5"/>
    <w:rsid w:val="004D3654"/>
    <w:rsid w:val="004D3BAF"/>
    <w:rsid w:val="004D6180"/>
    <w:rsid w:val="004D647B"/>
    <w:rsid w:val="004D6DDC"/>
    <w:rsid w:val="004D6FAA"/>
    <w:rsid w:val="004D7CC4"/>
    <w:rsid w:val="004E0695"/>
    <w:rsid w:val="004E0F7B"/>
    <w:rsid w:val="004E1680"/>
    <w:rsid w:val="004E3B0C"/>
    <w:rsid w:val="004E3E11"/>
    <w:rsid w:val="004E425A"/>
    <w:rsid w:val="004E46A3"/>
    <w:rsid w:val="004E4A74"/>
    <w:rsid w:val="004E4ACD"/>
    <w:rsid w:val="004E517C"/>
    <w:rsid w:val="004E53FF"/>
    <w:rsid w:val="004E57F9"/>
    <w:rsid w:val="004E6B41"/>
    <w:rsid w:val="004E70E6"/>
    <w:rsid w:val="004E746A"/>
    <w:rsid w:val="004F0BD9"/>
    <w:rsid w:val="004F106E"/>
    <w:rsid w:val="004F11A0"/>
    <w:rsid w:val="004F17F5"/>
    <w:rsid w:val="004F23D1"/>
    <w:rsid w:val="004F387F"/>
    <w:rsid w:val="004F3F4C"/>
    <w:rsid w:val="004F3F52"/>
    <w:rsid w:val="004F44AC"/>
    <w:rsid w:val="004F4E08"/>
    <w:rsid w:val="004F4FE6"/>
    <w:rsid w:val="004F5317"/>
    <w:rsid w:val="004F5FD5"/>
    <w:rsid w:val="004F7088"/>
    <w:rsid w:val="004F7109"/>
    <w:rsid w:val="004F7754"/>
    <w:rsid w:val="004F7CDF"/>
    <w:rsid w:val="005004D0"/>
    <w:rsid w:val="00500DD6"/>
    <w:rsid w:val="00503254"/>
    <w:rsid w:val="005037C6"/>
    <w:rsid w:val="00503BE6"/>
    <w:rsid w:val="0050409D"/>
    <w:rsid w:val="005042B8"/>
    <w:rsid w:val="005053F0"/>
    <w:rsid w:val="0050597B"/>
    <w:rsid w:val="00505ECB"/>
    <w:rsid w:val="00507FD3"/>
    <w:rsid w:val="00510E07"/>
    <w:rsid w:val="00512855"/>
    <w:rsid w:val="00512BD9"/>
    <w:rsid w:val="0051311F"/>
    <w:rsid w:val="005132ED"/>
    <w:rsid w:val="00513CB2"/>
    <w:rsid w:val="00513D0D"/>
    <w:rsid w:val="0051411D"/>
    <w:rsid w:val="00514457"/>
    <w:rsid w:val="00514718"/>
    <w:rsid w:val="005151DF"/>
    <w:rsid w:val="0051535B"/>
    <w:rsid w:val="0051550C"/>
    <w:rsid w:val="005167BE"/>
    <w:rsid w:val="005167F6"/>
    <w:rsid w:val="00516DA8"/>
    <w:rsid w:val="005171C3"/>
    <w:rsid w:val="00517B48"/>
    <w:rsid w:val="00517CBE"/>
    <w:rsid w:val="0052010A"/>
    <w:rsid w:val="005209F1"/>
    <w:rsid w:val="0052164B"/>
    <w:rsid w:val="005219E3"/>
    <w:rsid w:val="00521F57"/>
    <w:rsid w:val="00522823"/>
    <w:rsid w:val="00522BC9"/>
    <w:rsid w:val="00522F0F"/>
    <w:rsid w:val="005230AB"/>
    <w:rsid w:val="00523219"/>
    <w:rsid w:val="005238D8"/>
    <w:rsid w:val="00523D8B"/>
    <w:rsid w:val="00524058"/>
    <w:rsid w:val="0052455B"/>
    <w:rsid w:val="005246B9"/>
    <w:rsid w:val="00524898"/>
    <w:rsid w:val="005250CB"/>
    <w:rsid w:val="00525580"/>
    <w:rsid w:val="00525D5F"/>
    <w:rsid w:val="00526107"/>
    <w:rsid w:val="00526A30"/>
    <w:rsid w:val="00527194"/>
    <w:rsid w:val="005277E1"/>
    <w:rsid w:val="00530E6C"/>
    <w:rsid w:val="0053170A"/>
    <w:rsid w:val="0053239D"/>
    <w:rsid w:val="00532E10"/>
    <w:rsid w:val="005333BD"/>
    <w:rsid w:val="0053479F"/>
    <w:rsid w:val="005351CC"/>
    <w:rsid w:val="00535518"/>
    <w:rsid w:val="00535C37"/>
    <w:rsid w:val="00536815"/>
    <w:rsid w:val="005368E1"/>
    <w:rsid w:val="00536BCD"/>
    <w:rsid w:val="00537225"/>
    <w:rsid w:val="0054200F"/>
    <w:rsid w:val="005429D4"/>
    <w:rsid w:val="005429D6"/>
    <w:rsid w:val="005429DD"/>
    <w:rsid w:val="00542C62"/>
    <w:rsid w:val="00543728"/>
    <w:rsid w:val="00543888"/>
    <w:rsid w:val="00543BB8"/>
    <w:rsid w:val="00545120"/>
    <w:rsid w:val="00545B7A"/>
    <w:rsid w:val="00545DA4"/>
    <w:rsid w:val="00546435"/>
    <w:rsid w:val="00546CAF"/>
    <w:rsid w:val="00546F87"/>
    <w:rsid w:val="00547F5D"/>
    <w:rsid w:val="00550B6A"/>
    <w:rsid w:val="00551139"/>
    <w:rsid w:val="00551A1B"/>
    <w:rsid w:val="00551B12"/>
    <w:rsid w:val="00552875"/>
    <w:rsid w:val="00552C1E"/>
    <w:rsid w:val="00552E78"/>
    <w:rsid w:val="00553026"/>
    <w:rsid w:val="00553EC6"/>
    <w:rsid w:val="00553F53"/>
    <w:rsid w:val="005543B0"/>
    <w:rsid w:val="005547A4"/>
    <w:rsid w:val="00555958"/>
    <w:rsid w:val="00555C5C"/>
    <w:rsid w:val="005561C1"/>
    <w:rsid w:val="005563CE"/>
    <w:rsid w:val="0055663F"/>
    <w:rsid w:val="0055666A"/>
    <w:rsid w:val="00557101"/>
    <w:rsid w:val="005574F7"/>
    <w:rsid w:val="00557D2A"/>
    <w:rsid w:val="00560026"/>
    <w:rsid w:val="0056072C"/>
    <w:rsid w:val="005609B9"/>
    <w:rsid w:val="005615F3"/>
    <w:rsid w:val="005622D0"/>
    <w:rsid w:val="00562CA3"/>
    <w:rsid w:val="00562FDA"/>
    <w:rsid w:val="00563773"/>
    <w:rsid w:val="00564765"/>
    <w:rsid w:val="00564A84"/>
    <w:rsid w:val="005655F5"/>
    <w:rsid w:val="00565B10"/>
    <w:rsid w:val="005660A2"/>
    <w:rsid w:val="005661E2"/>
    <w:rsid w:val="00566701"/>
    <w:rsid w:val="00566973"/>
    <w:rsid w:val="00566A0E"/>
    <w:rsid w:val="00566D1B"/>
    <w:rsid w:val="005678AB"/>
    <w:rsid w:val="00567C23"/>
    <w:rsid w:val="00570CD3"/>
    <w:rsid w:val="00571240"/>
    <w:rsid w:val="00571B56"/>
    <w:rsid w:val="00571F49"/>
    <w:rsid w:val="00572449"/>
    <w:rsid w:val="005725C4"/>
    <w:rsid w:val="00572B7A"/>
    <w:rsid w:val="00573525"/>
    <w:rsid w:val="00573E5E"/>
    <w:rsid w:val="00574737"/>
    <w:rsid w:val="00575038"/>
    <w:rsid w:val="005755FE"/>
    <w:rsid w:val="00575A91"/>
    <w:rsid w:val="00575A97"/>
    <w:rsid w:val="0057600D"/>
    <w:rsid w:val="005760CE"/>
    <w:rsid w:val="00576455"/>
    <w:rsid w:val="00576E84"/>
    <w:rsid w:val="00577A54"/>
    <w:rsid w:val="00580162"/>
    <w:rsid w:val="00581773"/>
    <w:rsid w:val="00582C46"/>
    <w:rsid w:val="0058305B"/>
    <w:rsid w:val="00583C2B"/>
    <w:rsid w:val="00583D2D"/>
    <w:rsid w:val="00583F34"/>
    <w:rsid w:val="00584C2F"/>
    <w:rsid w:val="00585037"/>
    <w:rsid w:val="00585051"/>
    <w:rsid w:val="005862FE"/>
    <w:rsid w:val="005863DC"/>
    <w:rsid w:val="005865A5"/>
    <w:rsid w:val="005878A5"/>
    <w:rsid w:val="00592D5B"/>
    <w:rsid w:val="00593B18"/>
    <w:rsid w:val="00593B72"/>
    <w:rsid w:val="00595A22"/>
    <w:rsid w:val="00596027"/>
    <w:rsid w:val="005971B0"/>
    <w:rsid w:val="005972A9"/>
    <w:rsid w:val="005A00BD"/>
    <w:rsid w:val="005A0E52"/>
    <w:rsid w:val="005A0FEA"/>
    <w:rsid w:val="005A12E7"/>
    <w:rsid w:val="005A14A7"/>
    <w:rsid w:val="005A15D5"/>
    <w:rsid w:val="005A1EF7"/>
    <w:rsid w:val="005A2C88"/>
    <w:rsid w:val="005A2F65"/>
    <w:rsid w:val="005A3ACC"/>
    <w:rsid w:val="005A40C5"/>
    <w:rsid w:val="005A40F0"/>
    <w:rsid w:val="005A4B35"/>
    <w:rsid w:val="005A4BDD"/>
    <w:rsid w:val="005A56DF"/>
    <w:rsid w:val="005A58DD"/>
    <w:rsid w:val="005A7055"/>
    <w:rsid w:val="005A707F"/>
    <w:rsid w:val="005A79D0"/>
    <w:rsid w:val="005B0354"/>
    <w:rsid w:val="005B0D6C"/>
    <w:rsid w:val="005B3336"/>
    <w:rsid w:val="005B38C6"/>
    <w:rsid w:val="005B3E95"/>
    <w:rsid w:val="005B421F"/>
    <w:rsid w:val="005B46AD"/>
    <w:rsid w:val="005B5B0C"/>
    <w:rsid w:val="005B6155"/>
    <w:rsid w:val="005B61D7"/>
    <w:rsid w:val="005B6FE3"/>
    <w:rsid w:val="005B7762"/>
    <w:rsid w:val="005C08D2"/>
    <w:rsid w:val="005C0C0E"/>
    <w:rsid w:val="005C10BA"/>
    <w:rsid w:val="005C279C"/>
    <w:rsid w:val="005C2BD4"/>
    <w:rsid w:val="005C2C7C"/>
    <w:rsid w:val="005C2E90"/>
    <w:rsid w:val="005C370D"/>
    <w:rsid w:val="005C3917"/>
    <w:rsid w:val="005C3D60"/>
    <w:rsid w:val="005C3D88"/>
    <w:rsid w:val="005C445C"/>
    <w:rsid w:val="005C5549"/>
    <w:rsid w:val="005C5568"/>
    <w:rsid w:val="005C5E4C"/>
    <w:rsid w:val="005C5FB4"/>
    <w:rsid w:val="005C6194"/>
    <w:rsid w:val="005C61B2"/>
    <w:rsid w:val="005C65E6"/>
    <w:rsid w:val="005C6724"/>
    <w:rsid w:val="005C6795"/>
    <w:rsid w:val="005C6C32"/>
    <w:rsid w:val="005C6D55"/>
    <w:rsid w:val="005C6D6D"/>
    <w:rsid w:val="005C6F2C"/>
    <w:rsid w:val="005C6F44"/>
    <w:rsid w:val="005C706D"/>
    <w:rsid w:val="005C752C"/>
    <w:rsid w:val="005C79FE"/>
    <w:rsid w:val="005C7D8B"/>
    <w:rsid w:val="005D01EC"/>
    <w:rsid w:val="005D092F"/>
    <w:rsid w:val="005D26B6"/>
    <w:rsid w:val="005D34C7"/>
    <w:rsid w:val="005D36B8"/>
    <w:rsid w:val="005D3A40"/>
    <w:rsid w:val="005D3FC5"/>
    <w:rsid w:val="005D416D"/>
    <w:rsid w:val="005D49DB"/>
    <w:rsid w:val="005D5231"/>
    <w:rsid w:val="005D5266"/>
    <w:rsid w:val="005D547F"/>
    <w:rsid w:val="005D5797"/>
    <w:rsid w:val="005D7AB5"/>
    <w:rsid w:val="005D7CB3"/>
    <w:rsid w:val="005E0513"/>
    <w:rsid w:val="005E1DFB"/>
    <w:rsid w:val="005E223D"/>
    <w:rsid w:val="005E23DE"/>
    <w:rsid w:val="005E2C67"/>
    <w:rsid w:val="005E37FC"/>
    <w:rsid w:val="005E50A3"/>
    <w:rsid w:val="005E532C"/>
    <w:rsid w:val="005E5B9E"/>
    <w:rsid w:val="005E6074"/>
    <w:rsid w:val="005E6D9C"/>
    <w:rsid w:val="005E6F83"/>
    <w:rsid w:val="005E723E"/>
    <w:rsid w:val="005E7B62"/>
    <w:rsid w:val="005E7B73"/>
    <w:rsid w:val="005F0370"/>
    <w:rsid w:val="005F0EBE"/>
    <w:rsid w:val="005F19A5"/>
    <w:rsid w:val="005F1D2D"/>
    <w:rsid w:val="005F32D4"/>
    <w:rsid w:val="005F3333"/>
    <w:rsid w:val="005F3691"/>
    <w:rsid w:val="005F4621"/>
    <w:rsid w:val="005F4830"/>
    <w:rsid w:val="005F4B96"/>
    <w:rsid w:val="005F4DF2"/>
    <w:rsid w:val="005F57CE"/>
    <w:rsid w:val="005F5E66"/>
    <w:rsid w:val="005F5EB7"/>
    <w:rsid w:val="005F65B9"/>
    <w:rsid w:val="005F6777"/>
    <w:rsid w:val="005F7DCF"/>
    <w:rsid w:val="006005BA"/>
    <w:rsid w:val="00600B54"/>
    <w:rsid w:val="00600EB3"/>
    <w:rsid w:val="006022AE"/>
    <w:rsid w:val="006025D2"/>
    <w:rsid w:val="00602F9B"/>
    <w:rsid w:val="00603607"/>
    <w:rsid w:val="00604C9E"/>
    <w:rsid w:val="006054D3"/>
    <w:rsid w:val="00605958"/>
    <w:rsid w:val="00605C67"/>
    <w:rsid w:val="00606754"/>
    <w:rsid w:val="00606C1F"/>
    <w:rsid w:val="00606D1C"/>
    <w:rsid w:val="00606F27"/>
    <w:rsid w:val="00607314"/>
    <w:rsid w:val="00607D33"/>
    <w:rsid w:val="00607DE3"/>
    <w:rsid w:val="00607F7C"/>
    <w:rsid w:val="006103E5"/>
    <w:rsid w:val="00610689"/>
    <w:rsid w:val="006107D7"/>
    <w:rsid w:val="006113E1"/>
    <w:rsid w:val="00611981"/>
    <w:rsid w:val="00611EB9"/>
    <w:rsid w:val="006122DC"/>
    <w:rsid w:val="00612CE4"/>
    <w:rsid w:val="006134C0"/>
    <w:rsid w:val="0061352C"/>
    <w:rsid w:val="0061374A"/>
    <w:rsid w:val="00613A92"/>
    <w:rsid w:val="0061468B"/>
    <w:rsid w:val="00614E14"/>
    <w:rsid w:val="006155E2"/>
    <w:rsid w:val="0061568D"/>
    <w:rsid w:val="00617296"/>
    <w:rsid w:val="00617BC3"/>
    <w:rsid w:val="0062113A"/>
    <w:rsid w:val="00622323"/>
    <w:rsid w:val="0062246B"/>
    <w:rsid w:val="00622ABB"/>
    <w:rsid w:val="00623571"/>
    <w:rsid w:val="00623FBB"/>
    <w:rsid w:val="006249C3"/>
    <w:rsid w:val="00624B75"/>
    <w:rsid w:val="00624DD2"/>
    <w:rsid w:val="006260DC"/>
    <w:rsid w:val="0062624A"/>
    <w:rsid w:val="0062627A"/>
    <w:rsid w:val="00626360"/>
    <w:rsid w:val="00626422"/>
    <w:rsid w:val="00626617"/>
    <w:rsid w:val="006302D4"/>
    <w:rsid w:val="006303E1"/>
    <w:rsid w:val="006303FC"/>
    <w:rsid w:val="006307CE"/>
    <w:rsid w:val="00631E13"/>
    <w:rsid w:val="00632580"/>
    <w:rsid w:val="00632C59"/>
    <w:rsid w:val="00632CAC"/>
    <w:rsid w:val="00632DEE"/>
    <w:rsid w:val="0063313C"/>
    <w:rsid w:val="00633B19"/>
    <w:rsid w:val="00636B41"/>
    <w:rsid w:val="00636DBD"/>
    <w:rsid w:val="006409A6"/>
    <w:rsid w:val="00640E7C"/>
    <w:rsid w:val="00640FB2"/>
    <w:rsid w:val="00642B6A"/>
    <w:rsid w:val="0064328A"/>
    <w:rsid w:val="0064340E"/>
    <w:rsid w:val="00643EB0"/>
    <w:rsid w:val="00643F7A"/>
    <w:rsid w:val="00644870"/>
    <w:rsid w:val="00644D2E"/>
    <w:rsid w:val="006450C2"/>
    <w:rsid w:val="00645967"/>
    <w:rsid w:val="00646AC7"/>
    <w:rsid w:val="0064748B"/>
    <w:rsid w:val="00647876"/>
    <w:rsid w:val="00647C81"/>
    <w:rsid w:val="00651354"/>
    <w:rsid w:val="006516AC"/>
    <w:rsid w:val="006518B9"/>
    <w:rsid w:val="00651EE2"/>
    <w:rsid w:val="00652C7B"/>
    <w:rsid w:val="00652D9A"/>
    <w:rsid w:val="00653185"/>
    <w:rsid w:val="006543A2"/>
    <w:rsid w:val="006543E1"/>
    <w:rsid w:val="0065448A"/>
    <w:rsid w:val="00654760"/>
    <w:rsid w:val="006556DB"/>
    <w:rsid w:val="00655752"/>
    <w:rsid w:val="00655D45"/>
    <w:rsid w:val="00656208"/>
    <w:rsid w:val="00656344"/>
    <w:rsid w:val="006568CE"/>
    <w:rsid w:val="006569D8"/>
    <w:rsid w:val="00657433"/>
    <w:rsid w:val="00657B01"/>
    <w:rsid w:val="00657DF1"/>
    <w:rsid w:val="0066019F"/>
    <w:rsid w:val="00660410"/>
    <w:rsid w:val="006608DF"/>
    <w:rsid w:val="00660C2E"/>
    <w:rsid w:val="00660FB9"/>
    <w:rsid w:val="006613B3"/>
    <w:rsid w:val="006615A0"/>
    <w:rsid w:val="0066252F"/>
    <w:rsid w:val="0066269D"/>
    <w:rsid w:val="00662F9A"/>
    <w:rsid w:val="00663425"/>
    <w:rsid w:val="0066421F"/>
    <w:rsid w:val="00664CB6"/>
    <w:rsid w:val="00664F57"/>
    <w:rsid w:val="00665076"/>
    <w:rsid w:val="0066557C"/>
    <w:rsid w:val="00665743"/>
    <w:rsid w:val="00667166"/>
    <w:rsid w:val="006672E4"/>
    <w:rsid w:val="006676E6"/>
    <w:rsid w:val="006677A3"/>
    <w:rsid w:val="006705EC"/>
    <w:rsid w:val="006712B7"/>
    <w:rsid w:val="00671518"/>
    <w:rsid w:val="00671634"/>
    <w:rsid w:val="006717FE"/>
    <w:rsid w:val="0067252B"/>
    <w:rsid w:val="00672A57"/>
    <w:rsid w:val="0067302F"/>
    <w:rsid w:val="0067390F"/>
    <w:rsid w:val="00673D10"/>
    <w:rsid w:val="0067459E"/>
    <w:rsid w:val="00675451"/>
    <w:rsid w:val="006758D9"/>
    <w:rsid w:val="006761D9"/>
    <w:rsid w:val="0067686C"/>
    <w:rsid w:val="00676F8A"/>
    <w:rsid w:val="00676FA4"/>
    <w:rsid w:val="0068070B"/>
    <w:rsid w:val="006815A1"/>
    <w:rsid w:val="00681B7C"/>
    <w:rsid w:val="00681E2C"/>
    <w:rsid w:val="00682F20"/>
    <w:rsid w:val="0068352D"/>
    <w:rsid w:val="006836A2"/>
    <w:rsid w:val="00684CB5"/>
    <w:rsid w:val="00685E09"/>
    <w:rsid w:val="00685E73"/>
    <w:rsid w:val="00686662"/>
    <w:rsid w:val="006867DB"/>
    <w:rsid w:val="0068689A"/>
    <w:rsid w:val="00687DA4"/>
    <w:rsid w:val="006902A2"/>
    <w:rsid w:val="00690D37"/>
    <w:rsid w:val="00691139"/>
    <w:rsid w:val="00691BBA"/>
    <w:rsid w:val="00692514"/>
    <w:rsid w:val="00692789"/>
    <w:rsid w:val="006934E7"/>
    <w:rsid w:val="0069383A"/>
    <w:rsid w:val="00693865"/>
    <w:rsid w:val="00694A1D"/>
    <w:rsid w:val="0069536F"/>
    <w:rsid w:val="00696332"/>
    <w:rsid w:val="0069666C"/>
    <w:rsid w:val="00696F44"/>
    <w:rsid w:val="006A0089"/>
    <w:rsid w:val="006A069B"/>
    <w:rsid w:val="006A07F1"/>
    <w:rsid w:val="006A0AC5"/>
    <w:rsid w:val="006A120B"/>
    <w:rsid w:val="006A1655"/>
    <w:rsid w:val="006A2CB4"/>
    <w:rsid w:val="006A3375"/>
    <w:rsid w:val="006A3918"/>
    <w:rsid w:val="006A3D59"/>
    <w:rsid w:val="006A53A1"/>
    <w:rsid w:val="006A595F"/>
    <w:rsid w:val="006A6423"/>
    <w:rsid w:val="006A65D8"/>
    <w:rsid w:val="006A7D41"/>
    <w:rsid w:val="006B0961"/>
    <w:rsid w:val="006B2DC8"/>
    <w:rsid w:val="006B3B89"/>
    <w:rsid w:val="006B55F4"/>
    <w:rsid w:val="006B63C9"/>
    <w:rsid w:val="006B6880"/>
    <w:rsid w:val="006B6A44"/>
    <w:rsid w:val="006B6A4B"/>
    <w:rsid w:val="006B6C10"/>
    <w:rsid w:val="006C0B35"/>
    <w:rsid w:val="006C14B1"/>
    <w:rsid w:val="006C1E46"/>
    <w:rsid w:val="006C224E"/>
    <w:rsid w:val="006C2CD7"/>
    <w:rsid w:val="006C2CEC"/>
    <w:rsid w:val="006C351C"/>
    <w:rsid w:val="006C38F2"/>
    <w:rsid w:val="006C3A28"/>
    <w:rsid w:val="006C3B0B"/>
    <w:rsid w:val="006C43D5"/>
    <w:rsid w:val="006C4DEA"/>
    <w:rsid w:val="006C5FCE"/>
    <w:rsid w:val="006C64BC"/>
    <w:rsid w:val="006C6938"/>
    <w:rsid w:val="006C6D85"/>
    <w:rsid w:val="006D052F"/>
    <w:rsid w:val="006D079A"/>
    <w:rsid w:val="006D0DE8"/>
    <w:rsid w:val="006D13E9"/>
    <w:rsid w:val="006D1F50"/>
    <w:rsid w:val="006D1FB9"/>
    <w:rsid w:val="006D3849"/>
    <w:rsid w:val="006D45B3"/>
    <w:rsid w:val="006D4F13"/>
    <w:rsid w:val="006D5353"/>
    <w:rsid w:val="006D5564"/>
    <w:rsid w:val="006D5677"/>
    <w:rsid w:val="006D64FA"/>
    <w:rsid w:val="006D6506"/>
    <w:rsid w:val="006D66C1"/>
    <w:rsid w:val="006D7048"/>
    <w:rsid w:val="006D783E"/>
    <w:rsid w:val="006E0DA0"/>
    <w:rsid w:val="006E1EF4"/>
    <w:rsid w:val="006E21AC"/>
    <w:rsid w:val="006E2922"/>
    <w:rsid w:val="006E374E"/>
    <w:rsid w:val="006E3A44"/>
    <w:rsid w:val="006E3C0C"/>
    <w:rsid w:val="006E3C90"/>
    <w:rsid w:val="006E3D86"/>
    <w:rsid w:val="006E4CF9"/>
    <w:rsid w:val="006E508C"/>
    <w:rsid w:val="006E50A8"/>
    <w:rsid w:val="006E54EF"/>
    <w:rsid w:val="006E5809"/>
    <w:rsid w:val="006F0254"/>
    <w:rsid w:val="006F08CF"/>
    <w:rsid w:val="006F1B81"/>
    <w:rsid w:val="006F1C93"/>
    <w:rsid w:val="006F1FB8"/>
    <w:rsid w:val="006F2068"/>
    <w:rsid w:val="006F2093"/>
    <w:rsid w:val="006F2263"/>
    <w:rsid w:val="006F2510"/>
    <w:rsid w:val="006F3613"/>
    <w:rsid w:val="006F3697"/>
    <w:rsid w:val="006F3DDB"/>
    <w:rsid w:val="006F3E96"/>
    <w:rsid w:val="006F4D75"/>
    <w:rsid w:val="006F57A7"/>
    <w:rsid w:val="006F5BA9"/>
    <w:rsid w:val="006F5CC0"/>
    <w:rsid w:val="006F5D3B"/>
    <w:rsid w:val="006F5E25"/>
    <w:rsid w:val="006F5E78"/>
    <w:rsid w:val="006F72FB"/>
    <w:rsid w:val="006F76BD"/>
    <w:rsid w:val="006F7787"/>
    <w:rsid w:val="006F7B61"/>
    <w:rsid w:val="0070035A"/>
    <w:rsid w:val="0070264C"/>
    <w:rsid w:val="00702F43"/>
    <w:rsid w:val="007036CE"/>
    <w:rsid w:val="00705EB0"/>
    <w:rsid w:val="0070664D"/>
    <w:rsid w:val="00706A68"/>
    <w:rsid w:val="007070FD"/>
    <w:rsid w:val="00707406"/>
    <w:rsid w:val="00707AD9"/>
    <w:rsid w:val="007111C2"/>
    <w:rsid w:val="0071276B"/>
    <w:rsid w:val="007131F0"/>
    <w:rsid w:val="0071333D"/>
    <w:rsid w:val="0071343A"/>
    <w:rsid w:val="00713735"/>
    <w:rsid w:val="00713B06"/>
    <w:rsid w:val="007144F1"/>
    <w:rsid w:val="007154F0"/>
    <w:rsid w:val="00715E8B"/>
    <w:rsid w:val="007161E5"/>
    <w:rsid w:val="00716536"/>
    <w:rsid w:val="007169E6"/>
    <w:rsid w:val="007176EC"/>
    <w:rsid w:val="007178E8"/>
    <w:rsid w:val="00717C87"/>
    <w:rsid w:val="00717D11"/>
    <w:rsid w:val="0072095B"/>
    <w:rsid w:val="00721544"/>
    <w:rsid w:val="00721766"/>
    <w:rsid w:val="00721C85"/>
    <w:rsid w:val="00722467"/>
    <w:rsid w:val="007227BA"/>
    <w:rsid w:val="00722B65"/>
    <w:rsid w:val="00722D3A"/>
    <w:rsid w:val="00723832"/>
    <w:rsid w:val="00723FD6"/>
    <w:rsid w:val="00724048"/>
    <w:rsid w:val="007246EE"/>
    <w:rsid w:val="00724DDA"/>
    <w:rsid w:val="00725953"/>
    <w:rsid w:val="007259EC"/>
    <w:rsid w:val="00725BAA"/>
    <w:rsid w:val="00725EEC"/>
    <w:rsid w:val="00726A80"/>
    <w:rsid w:val="00726AC3"/>
    <w:rsid w:val="00726AFF"/>
    <w:rsid w:val="00726B9D"/>
    <w:rsid w:val="00726E61"/>
    <w:rsid w:val="00726F2D"/>
    <w:rsid w:val="00727557"/>
    <w:rsid w:val="00727B0A"/>
    <w:rsid w:val="00727EDE"/>
    <w:rsid w:val="00730461"/>
    <w:rsid w:val="00730D1B"/>
    <w:rsid w:val="007323D9"/>
    <w:rsid w:val="00732438"/>
    <w:rsid w:val="00732B47"/>
    <w:rsid w:val="00733E4B"/>
    <w:rsid w:val="007340FD"/>
    <w:rsid w:val="00734553"/>
    <w:rsid w:val="007347FE"/>
    <w:rsid w:val="007360BC"/>
    <w:rsid w:val="00736E9F"/>
    <w:rsid w:val="007370BC"/>
    <w:rsid w:val="00737160"/>
    <w:rsid w:val="00737272"/>
    <w:rsid w:val="00740E4E"/>
    <w:rsid w:val="00740F5E"/>
    <w:rsid w:val="00741253"/>
    <w:rsid w:val="00741F65"/>
    <w:rsid w:val="007427A4"/>
    <w:rsid w:val="0074308F"/>
    <w:rsid w:val="00743579"/>
    <w:rsid w:val="007443BA"/>
    <w:rsid w:val="007446CB"/>
    <w:rsid w:val="007447BF"/>
    <w:rsid w:val="00744D4D"/>
    <w:rsid w:val="00750194"/>
    <w:rsid w:val="00752472"/>
    <w:rsid w:val="00753B14"/>
    <w:rsid w:val="00753B98"/>
    <w:rsid w:val="00753D8A"/>
    <w:rsid w:val="00754440"/>
    <w:rsid w:val="00754E79"/>
    <w:rsid w:val="0075589E"/>
    <w:rsid w:val="007562FC"/>
    <w:rsid w:val="00756E48"/>
    <w:rsid w:val="00756E68"/>
    <w:rsid w:val="00757B4A"/>
    <w:rsid w:val="00760446"/>
    <w:rsid w:val="007608EF"/>
    <w:rsid w:val="00760A43"/>
    <w:rsid w:val="00760EA9"/>
    <w:rsid w:val="00760F25"/>
    <w:rsid w:val="0076154F"/>
    <w:rsid w:val="00762095"/>
    <w:rsid w:val="0076252C"/>
    <w:rsid w:val="007625DA"/>
    <w:rsid w:val="00762CF5"/>
    <w:rsid w:val="007636FF"/>
    <w:rsid w:val="00764B1F"/>
    <w:rsid w:val="00766C01"/>
    <w:rsid w:val="007674E1"/>
    <w:rsid w:val="00770043"/>
    <w:rsid w:val="0077010D"/>
    <w:rsid w:val="007705E1"/>
    <w:rsid w:val="00770C08"/>
    <w:rsid w:val="007711BE"/>
    <w:rsid w:val="00771967"/>
    <w:rsid w:val="00772440"/>
    <w:rsid w:val="00772487"/>
    <w:rsid w:val="0077277E"/>
    <w:rsid w:val="007727E9"/>
    <w:rsid w:val="00772A4E"/>
    <w:rsid w:val="007735ED"/>
    <w:rsid w:val="00774994"/>
    <w:rsid w:val="00774E49"/>
    <w:rsid w:val="00775160"/>
    <w:rsid w:val="00775489"/>
    <w:rsid w:val="007754E4"/>
    <w:rsid w:val="0077559D"/>
    <w:rsid w:val="00775777"/>
    <w:rsid w:val="00775F4D"/>
    <w:rsid w:val="007762F9"/>
    <w:rsid w:val="00776555"/>
    <w:rsid w:val="0077699D"/>
    <w:rsid w:val="00776CA8"/>
    <w:rsid w:val="00776D8B"/>
    <w:rsid w:val="007772BE"/>
    <w:rsid w:val="00777334"/>
    <w:rsid w:val="00777B93"/>
    <w:rsid w:val="00777E3A"/>
    <w:rsid w:val="0078006C"/>
    <w:rsid w:val="007801F5"/>
    <w:rsid w:val="00782228"/>
    <w:rsid w:val="0078229A"/>
    <w:rsid w:val="00782398"/>
    <w:rsid w:val="007826F9"/>
    <w:rsid w:val="00782927"/>
    <w:rsid w:val="007829B2"/>
    <w:rsid w:val="007834B9"/>
    <w:rsid w:val="00783FD0"/>
    <w:rsid w:val="007845C3"/>
    <w:rsid w:val="007852F0"/>
    <w:rsid w:val="00785385"/>
    <w:rsid w:val="00785B49"/>
    <w:rsid w:val="00787236"/>
    <w:rsid w:val="00790B0A"/>
    <w:rsid w:val="00790E46"/>
    <w:rsid w:val="007912AD"/>
    <w:rsid w:val="00791874"/>
    <w:rsid w:val="007922C2"/>
    <w:rsid w:val="00792684"/>
    <w:rsid w:val="00794C3E"/>
    <w:rsid w:val="00795AB5"/>
    <w:rsid w:val="00795F23"/>
    <w:rsid w:val="0079677F"/>
    <w:rsid w:val="007967C5"/>
    <w:rsid w:val="007A00F7"/>
    <w:rsid w:val="007A079F"/>
    <w:rsid w:val="007A1413"/>
    <w:rsid w:val="007A194C"/>
    <w:rsid w:val="007A2FF2"/>
    <w:rsid w:val="007A3540"/>
    <w:rsid w:val="007A3D71"/>
    <w:rsid w:val="007A49D7"/>
    <w:rsid w:val="007A4D44"/>
    <w:rsid w:val="007A59DE"/>
    <w:rsid w:val="007A5C8F"/>
    <w:rsid w:val="007A6B56"/>
    <w:rsid w:val="007A6C7B"/>
    <w:rsid w:val="007A79F8"/>
    <w:rsid w:val="007A7B1D"/>
    <w:rsid w:val="007B0C3C"/>
    <w:rsid w:val="007B0CDC"/>
    <w:rsid w:val="007B111E"/>
    <w:rsid w:val="007B122E"/>
    <w:rsid w:val="007B2698"/>
    <w:rsid w:val="007B2C57"/>
    <w:rsid w:val="007B2CCC"/>
    <w:rsid w:val="007B2D03"/>
    <w:rsid w:val="007B2E8E"/>
    <w:rsid w:val="007B2FCC"/>
    <w:rsid w:val="007B32FE"/>
    <w:rsid w:val="007B3304"/>
    <w:rsid w:val="007B36E0"/>
    <w:rsid w:val="007B3A24"/>
    <w:rsid w:val="007B4B64"/>
    <w:rsid w:val="007B4E95"/>
    <w:rsid w:val="007B5247"/>
    <w:rsid w:val="007B5785"/>
    <w:rsid w:val="007B5EC6"/>
    <w:rsid w:val="007B5F2E"/>
    <w:rsid w:val="007B689E"/>
    <w:rsid w:val="007B6B46"/>
    <w:rsid w:val="007B6E57"/>
    <w:rsid w:val="007B718E"/>
    <w:rsid w:val="007B77DD"/>
    <w:rsid w:val="007B7DFB"/>
    <w:rsid w:val="007C000C"/>
    <w:rsid w:val="007C12B4"/>
    <w:rsid w:val="007C18F5"/>
    <w:rsid w:val="007C2ADC"/>
    <w:rsid w:val="007C34AC"/>
    <w:rsid w:val="007C371C"/>
    <w:rsid w:val="007C3AF2"/>
    <w:rsid w:val="007C4007"/>
    <w:rsid w:val="007C56A5"/>
    <w:rsid w:val="007C5CBB"/>
    <w:rsid w:val="007C6043"/>
    <w:rsid w:val="007C64E0"/>
    <w:rsid w:val="007C6641"/>
    <w:rsid w:val="007C70B7"/>
    <w:rsid w:val="007C7324"/>
    <w:rsid w:val="007C7563"/>
    <w:rsid w:val="007C7BB8"/>
    <w:rsid w:val="007D06F1"/>
    <w:rsid w:val="007D0CB9"/>
    <w:rsid w:val="007D10C7"/>
    <w:rsid w:val="007D1202"/>
    <w:rsid w:val="007D1462"/>
    <w:rsid w:val="007D1747"/>
    <w:rsid w:val="007D1C1D"/>
    <w:rsid w:val="007D26A5"/>
    <w:rsid w:val="007D3461"/>
    <w:rsid w:val="007D35E7"/>
    <w:rsid w:val="007D3689"/>
    <w:rsid w:val="007D39A6"/>
    <w:rsid w:val="007D4391"/>
    <w:rsid w:val="007D47C9"/>
    <w:rsid w:val="007D4BBA"/>
    <w:rsid w:val="007D53C6"/>
    <w:rsid w:val="007D569C"/>
    <w:rsid w:val="007D5B34"/>
    <w:rsid w:val="007D6858"/>
    <w:rsid w:val="007D7277"/>
    <w:rsid w:val="007E15BA"/>
    <w:rsid w:val="007E17DE"/>
    <w:rsid w:val="007E1AFF"/>
    <w:rsid w:val="007E26AB"/>
    <w:rsid w:val="007E324D"/>
    <w:rsid w:val="007E3C3E"/>
    <w:rsid w:val="007E3E8B"/>
    <w:rsid w:val="007E3EFC"/>
    <w:rsid w:val="007E4C67"/>
    <w:rsid w:val="007E5095"/>
    <w:rsid w:val="007E5A5D"/>
    <w:rsid w:val="007E612F"/>
    <w:rsid w:val="007E6A5A"/>
    <w:rsid w:val="007E7977"/>
    <w:rsid w:val="007F087C"/>
    <w:rsid w:val="007F0A95"/>
    <w:rsid w:val="007F0CB4"/>
    <w:rsid w:val="007F0E12"/>
    <w:rsid w:val="007F0F96"/>
    <w:rsid w:val="007F13E4"/>
    <w:rsid w:val="007F1941"/>
    <w:rsid w:val="007F19B1"/>
    <w:rsid w:val="007F2806"/>
    <w:rsid w:val="007F34C5"/>
    <w:rsid w:val="007F36CF"/>
    <w:rsid w:val="007F4BEF"/>
    <w:rsid w:val="007F54E3"/>
    <w:rsid w:val="007F54F0"/>
    <w:rsid w:val="007F5E1A"/>
    <w:rsid w:val="007F6084"/>
    <w:rsid w:val="007F6C43"/>
    <w:rsid w:val="007F7265"/>
    <w:rsid w:val="007F78B0"/>
    <w:rsid w:val="007F7ED6"/>
    <w:rsid w:val="008005A5"/>
    <w:rsid w:val="008007E2"/>
    <w:rsid w:val="0080150D"/>
    <w:rsid w:val="00801EF3"/>
    <w:rsid w:val="00801F79"/>
    <w:rsid w:val="00802635"/>
    <w:rsid w:val="00802C43"/>
    <w:rsid w:val="008038F9"/>
    <w:rsid w:val="00803A52"/>
    <w:rsid w:val="00803DF9"/>
    <w:rsid w:val="008045BB"/>
    <w:rsid w:val="00804EE6"/>
    <w:rsid w:val="00805060"/>
    <w:rsid w:val="008050AA"/>
    <w:rsid w:val="0081031E"/>
    <w:rsid w:val="008118BE"/>
    <w:rsid w:val="00812BEA"/>
    <w:rsid w:val="00813202"/>
    <w:rsid w:val="0081493F"/>
    <w:rsid w:val="00814FA6"/>
    <w:rsid w:val="008159EE"/>
    <w:rsid w:val="00816A50"/>
    <w:rsid w:val="00816C6C"/>
    <w:rsid w:val="00816F6A"/>
    <w:rsid w:val="00817434"/>
    <w:rsid w:val="00817490"/>
    <w:rsid w:val="0081751A"/>
    <w:rsid w:val="00817AE8"/>
    <w:rsid w:val="00817D9A"/>
    <w:rsid w:val="00820035"/>
    <w:rsid w:val="00820217"/>
    <w:rsid w:val="00820396"/>
    <w:rsid w:val="00820D56"/>
    <w:rsid w:val="008220A5"/>
    <w:rsid w:val="00822840"/>
    <w:rsid w:val="00823FE0"/>
    <w:rsid w:val="00824F20"/>
    <w:rsid w:val="008252BB"/>
    <w:rsid w:val="00825540"/>
    <w:rsid w:val="008259F3"/>
    <w:rsid w:val="00825C2B"/>
    <w:rsid w:val="008263FC"/>
    <w:rsid w:val="00826AB6"/>
    <w:rsid w:val="00827829"/>
    <w:rsid w:val="008310A0"/>
    <w:rsid w:val="0083121D"/>
    <w:rsid w:val="0083187D"/>
    <w:rsid w:val="00831C7C"/>
    <w:rsid w:val="00832360"/>
    <w:rsid w:val="00832C21"/>
    <w:rsid w:val="00833097"/>
    <w:rsid w:val="008337B6"/>
    <w:rsid w:val="00833941"/>
    <w:rsid w:val="00833B53"/>
    <w:rsid w:val="00834606"/>
    <w:rsid w:val="00834D45"/>
    <w:rsid w:val="00834EDB"/>
    <w:rsid w:val="00835A02"/>
    <w:rsid w:val="008362FE"/>
    <w:rsid w:val="00836A13"/>
    <w:rsid w:val="00836DB8"/>
    <w:rsid w:val="00836F5E"/>
    <w:rsid w:val="00840B37"/>
    <w:rsid w:val="00841228"/>
    <w:rsid w:val="00841A85"/>
    <w:rsid w:val="008420D9"/>
    <w:rsid w:val="00842AA6"/>
    <w:rsid w:val="0084301B"/>
    <w:rsid w:val="008430C8"/>
    <w:rsid w:val="008445EE"/>
    <w:rsid w:val="008460E8"/>
    <w:rsid w:val="00846BCF"/>
    <w:rsid w:val="0084719C"/>
    <w:rsid w:val="00847712"/>
    <w:rsid w:val="0085052C"/>
    <w:rsid w:val="00850B9B"/>
    <w:rsid w:val="00851070"/>
    <w:rsid w:val="00851187"/>
    <w:rsid w:val="00851F0A"/>
    <w:rsid w:val="00852726"/>
    <w:rsid w:val="00852AD8"/>
    <w:rsid w:val="008530E8"/>
    <w:rsid w:val="00853167"/>
    <w:rsid w:val="00853CB8"/>
    <w:rsid w:val="00854782"/>
    <w:rsid w:val="00854D97"/>
    <w:rsid w:val="00855285"/>
    <w:rsid w:val="00855C96"/>
    <w:rsid w:val="00855E35"/>
    <w:rsid w:val="00855EB4"/>
    <w:rsid w:val="008560AC"/>
    <w:rsid w:val="0085683A"/>
    <w:rsid w:val="00856C9C"/>
    <w:rsid w:val="008572E4"/>
    <w:rsid w:val="00860089"/>
    <w:rsid w:val="008600D1"/>
    <w:rsid w:val="00860456"/>
    <w:rsid w:val="0086045E"/>
    <w:rsid w:val="00860653"/>
    <w:rsid w:val="0086115D"/>
    <w:rsid w:val="008612D2"/>
    <w:rsid w:val="008619E7"/>
    <w:rsid w:val="00861C6A"/>
    <w:rsid w:val="00862283"/>
    <w:rsid w:val="0086275F"/>
    <w:rsid w:val="008643CA"/>
    <w:rsid w:val="0086543F"/>
    <w:rsid w:val="00866173"/>
    <w:rsid w:val="0086731D"/>
    <w:rsid w:val="00871357"/>
    <w:rsid w:val="0087201B"/>
    <w:rsid w:val="008725B1"/>
    <w:rsid w:val="00873189"/>
    <w:rsid w:val="0087355C"/>
    <w:rsid w:val="008741A0"/>
    <w:rsid w:val="00874223"/>
    <w:rsid w:val="00874596"/>
    <w:rsid w:val="0087660D"/>
    <w:rsid w:val="00877210"/>
    <w:rsid w:val="008773D2"/>
    <w:rsid w:val="00880537"/>
    <w:rsid w:val="00880587"/>
    <w:rsid w:val="00880DB6"/>
    <w:rsid w:val="00880EB9"/>
    <w:rsid w:val="00881528"/>
    <w:rsid w:val="00882127"/>
    <w:rsid w:val="00882B33"/>
    <w:rsid w:val="00884AC7"/>
    <w:rsid w:val="00885473"/>
    <w:rsid w:val="008857AA"/>
    <w:rsid w:val="008870EA"/>
    <w:rsid w:val="0089029A"/>
    <w:rsid w:val="00890BE0"/>
    <w:rsid w:val="00891BCD"/>
    <w:rsid w:val="00891BFB"/>
    <w:rsid w:val="008921C6"/>
    <w:rsid w:val="008923AE"/>
    <w:rsid w:val="008926D5"/>
    <w:rsid w:val="00892DCD"/>
    <w:rsid w:val="00892E26"/>
    <w:rsid w:val="008937D8"/>
    <w:rsid w:val="008938C3"/>
    <w:rsid w:val="0089641C"/>
    <w:rsid w:val="008A273A"/>
    <w:rsid w:val="008A2944"/>
    <w:rsid w:val="008A2EC5"/>
    <w:rsid w:val="008A340A"/>
    <w:rsid w:val="008A45F3"/>
    <w:rsid w:val="008A5444"/>
    <w:rsid w:val="008A5499"/>
    <w:rsid w:val="008A6458"/>
    <w:rsid w:val="008A6835"/>
    <w:rsid w:val="008A74FE"/>
    <w:rsid w:val="008B0067"/>
    <w:rsid w:val="008B0756"/>
    <w:rsid w:val="008B125C"/>
    <w:rsid w:val="008B1739"/>
    <w:rsid w:val="008B1807"/>
    <w:rsid w:val="008B1F84"/>
    <w:rsid w:val="008B25B0"/>
    <w:rsid w:val="008B278D"/>
    <w:rsid w:val="008B366D"/>
    <w:rsid w:val="008B37D3"/>
    <w:rsid w:val="008B3A6B"/>
    <w:rsid w:val="008B3ABE"/>
    <w:rsid w:val="008B3DBB"/>
    <w:rsid w:val="008B4614"/>
    <w:rsid w:val="008B5745"/>
    <w:rsid w:val="008B5CF3"/>
    <w:rsid w:val="008B67E9"/>
    <w:rsid w:val="008C0257"/>
    <w:rsid w:val="008C0345"/>
    <w:rsid w:val="008C0D0A"/>
    <w:rsid w:val="008C119F"/>
    <w:rsid w:val="008C138C"/>
    <w:rsid w:val="008C1519"/>
    <w:rsid w:val="008C1AA3"/>
    <w:rsid w:val="008C1E8A"/>
    <w:rsid w:val="008C231F"/>
    <w:rsid w:val="008C31F9"/>
    <w:rsid w:val="008C3479"/>
    <w:rsid w:val="008C36C2"/>
    <w:rsid w:val="008C3E83"/>
    <w:rsid w:val="008C44E3"/>
    <w:rsid w:val="008C59F0"/>
    <w:rsid w:val="008C6C52"/>
    <w:rsid w:val="008C6E67"/>
    <w:rsid w:val="008C7A43"/>
    <w:rsid w:val="008C7D21"/>
    <w:rsid w:val="008D00FF"/>
    <w:rsid w:val="008D0218"/>
    <w:rsid w:val="008D0255"/>
    <w:rsid w:val="008D0AE1"/>
    <w:rsid w:val="008D1000"/>
    <w:rsid w:val="008D1057"/>
    <w:rsid w:val="008D142A"/>
    <w:rsid w:val="008D2751"/>
    <w:rsid w:val="008D2A8B"/>
    <w:rsid w:val="008D2A9F"/>
    <w:rsid w:val="008D3133"/>
    <w:rsid w:val="008D4092"/>
    <w:rsid w:val="008D427F"/>
    <w:rsid w:val="008D469B"/>
    <w:rsid w:val="008D53E4"/>
    <w:rsid w:val="008D5FBC"/>
    <w:rsid w:val="008D76A1"/>
    <w:rsid w:val="008E064C"/>
    <w:rsid w:val="008E13A0"/>
    <w:rsid w:val="008E1FF0"/>
    <w:rsid w:val="008E1FF4"/>
    <w:rsid w:val="008E2835"/>
    <w:rsid w:val="008E364C"/>
    <w:rsid w:val="008E3CB1"/>
    <w:rsid w:val="008E4231"/>
    <w:rsid w:val="008E5372"/>
    <w:rsid w:val="008E5689"/>
    <w:rsid w:val="008E5C20"/>
    <w:rsid w:val="008E5C42"/>
    <w:rsid w:val="008E5D57"/>
    <w:rsid w:val="008E61E0"/>
    <w:rsid w:val="008E6694"/>
    <w:rsid w:val="008E682F"/>
    <w:rsid w:val="008E6B1F"/>
    <w:rsid w:val="008E6DCC"/>
    <w:rsid w:val="008F06B1"/>
    <w:rsid w:val="008F07FB"/>
    <w:rsid w:val="008F081C"/>
    <w:rsid w:val="008F094A"/>
    <w:rsid w:val="008F095B"/>
    <w:rsid w:val="008F0DD5"/>
    <w:rsid w:val="008F10C3"/>
    <w:rsid w:val="008F152E"/>
    <w:rsid w:val="008F2A83"/>
    <w:rsid w:val="008F2D9D"/>
    <w:rsid w:val="008F2FB6"/>
    <w:rsid w:val="008F45B7"/>
    <w:rsid w:val="008F475A"/>
    <w:rsid w:val="008F4C6A"/>
    <w:rsid w:val="008F5479"/>
    <w:rsid w:val="008F5530"/>
    <w:rsid w:val="008F68CA"/>
    <w:rsid w:val="008F6C07"/>
    <w:rsid w:val="008F6E5F"/>
    <w:rsid w:val="008F70E0"/>
    <w:rsid w:val="008F7B24"/>
    <w:rsid w:val="00900778"/>
    <w:rsid w:val="009007CE"/>
    <w:rsid w:val="00900861"/>
    <w:rsid w:val="00900A69"/>
    <w:rsid w:val="00900ABB"/>
    <w:rsid w:val="00900E11"/>
    <w:rsid w:val="009011BF"/>
    <w:rsid w:val="0090122E"/>
    <w:rsid w:val="00901999"/>
    <w:rsid w:val="00901F54"/>
    <w:rsid w:val="00902BBB"/>
    <w:rsid w:val="00903129"/>
    <w:rsid w:val="00903B7A"/>
    <w:rsid w:val="00904D9E"/>
    <w:rsid w:val="009056D6"/>
    <w:rsid w:val="00906124"/>
    <w:rsid w:val="00906183"/>
    <w:rsid w:val="0090626F"/>
    <w:rsid w:val="00906BC2"/>
    <w:rsid w:val="00907CE4"/>
    <w:rsid w:val="00907F2E"/>
    <w:rsid w:val="00910AAA"/>
    <w:rsid w:val="00910EAC"/>
    <w:rsid w:val="00911320"/>
    <w:rsid w:val="00911B51"/>
    <w:rsid w:val="00911F5A"/>
    <w:rsid w:val="00912DCE"/>
    <w:rsid w:val="00913386"/>
    <w:rsid w:val="00913491"/>
    <w:rsid w:val="00913D2F"/>
    <w:rsid w:val="00914A3D"/>
    <w:rsid w:val="00915868"/>
    <w:rsid w:val="0091615B"/>
    <w:rsid w:val="00916886"/>
    <w:rsid w:val="00917E87"/>
    <w:rsid w:val="0092033E"/>
    <w:rsid w:val="009206AD"/>
    <w:rsid w:val="009206B1"/>
    <w:rsid w:val="00920EF7"/>
    <w:rsid w:val="00921EB9"/>
    <w:rsid w:val="0092361A"/>
    <w:rsid w:val="00923935"/>
    <w:rsid w:val="00924815"/>
    <w:rsid w:val="009248CF"/>
    <w:rsid w:val="009259DC"/>
    <w:rsid w:val="00925EB5"/>
    <w:rsid w:val="009261C2"/>
    <w:rsid w:val="009262E7"/>
    <w:rsid w:val="00926501"/>
    <w:rsid w:val="00926874"/>
    <w:rsid w:val="009269B5"/>
    <w:rsid w:val="00926B42"/>
    <w:rsid w:val="0093005D"/>
    <w:rsid w:val="009309DC"/>
    <w:rsid w:val="00930FA2"/>
    <w:rsid w:val="0093214A"/>
    <w:rsid w:val="009353C5"/>
    <w:rsid w:val="00935ABF"/>
    <w:rsid w:val="009378D5"/>
    <w:rsid w:val="00937DA0"/>
    <w:rsid w:val="00940A63"/>
    <w:rsid w:val="009413ED"/>
    <w:rsid w:val="00941E28"/>
    <w:rsid w:val="009425FB"/>
    <w:rsid w:val="00942930"/>
    <w:rsid w:val="009429E1"/>
    <w:rsid w:val="00942D8A"/>
    <w:rsid w:val="009436FB"/>
    <w:rsid w:val="009447E7"/>
    <w:rsid w:val="0094576C"/>
    <w:rsid w:val="009466A2"/>
    <w:rsid w:val="00946FDD"/>
    <w:rsid w:val="0094743B"/>
    <w:rsid w:val="00950229"/>
    <w:rsid w:val="00951BF5"/>
    <w:rsid w:val="009523EF"/>
    <w:rsid w:val="0095242A"/>
    <w:rsid w:val="00952621"/>
    <w:rsid w:val="00952B20"/>
    <w:rsid w:val="009538D4"/>
    <w:rsid w:val="009544EC"/>
    <w:rsid w:val="00954A4A"/>
    <w:rsid w:val="00954F0D"/>
    <w:rsid w:val="00955891"/>
    <w:rsid w:val="009561D9"/>
    <w:rsid w:val="0095632F"/>
    <w:rsid w:val="00956732"/>
    <w:rsid w:val="00956955"/>
    <w:rsid w:val="0095742B"/>
    <w:rsid w:val="00957D43"/>
    <w:rsid w:val="00960B7B"/>
    <w:rsid w:val="00960D03"/>
    <w:rsid w:val="009614BB"/>
    <w:rsid w:val="009618B6"/>
    <w:rsid w:val="00961DDB"/>
    <w:rsid w:val="00961EAB"/>
    <w:rsid w:val="009620AD"/>
    <w:rsid w:val="00962824"/>
    <w:rsid w:val="00962AD6"/>
    <w:rsid w:val="00962DA8"/>
    <w:rsid w:val="009633AA"/>
    <w:rsid w:val="00963CD3"/>
    <w:rsid w:val="0096419A"/>
    <w:rsid w:val="00964687"/>
    <w:rsid w:val="009647D5"/>
    <w:rsid w:val="009654C3"/>
    <w:rsid w:val="0096645F"/>
    <w:rsid w:val="00966835"/>
    <w:rsid w:val="00966BB2"/>
    <w:rsid w:val="00966C01"/>
    <w:rsid w:val="009674A8"/>
    <w:rsid w:val="00967AA9"/>
    <w:rsid w:val="009708C8"/>
    <w:rsid w:val="00970E11"/>
    <w:rsid w:val="0097222E"/>
    <w:rsid w:val="0097308A"/>
    <w:rsid w:val="0097349A"/>
    <w:rsid w:val="00973910"/>
    <w:rsid w:val="00973BC8"/>
    <w:rsid w:val="00973C25"/>
    <w:rsid w:val="00973F8D"/>
    <w:rsid w:val="009742EE"/>
    <w:rsid w:val="00974478"/>
    <w:rsid w:val="009748EE"/>
    <w:rsid w:val="00974EFA"/>
    <w:rsid w:val="00975711"/>
    <w:rsid w:val="00975AA6"/>
    <w:rsid w:val="00975C01"/>
    <w:rsid w:val="00976252"/>
    <w:rsid w:val="009770C4"/>
    <w:rsid w:val="00977641"/>
    <w:rsid w:val="00977E5B"/>
    <w:rsid w:val="00977F7F"/>
    <w:rsid w:val="00982182"/>
    <w:rsid w:val="0098232E"/>
    <w:rsid w:val="00983113"/>
    <w:rsid w:val="009837A6"/>
    <w:rsid w:val="0098381E"/>
    <w:rsid w:val="00983C21"/>
    <w:rsid w:val="0098466F"/>
    <w:rsid w:val="00984A35"/>
    <w:rsid w:val="009851AB"/>
    <w:rsid w:val="0098550D"/>
    <w:rsid w:val="009858A0"/>
    <w:rsid w:val="009866F6"/>
    <w:rsid w:val="00986AD8"/>
    <w:rsid w:val="0098750B"/>
    <w:rsid w:val="009878F5"/>
    <w:rsid w:val="00987A9E"/>
    <w:rsid w:val="00987C80"/>
    <w:rsid w:val="00987EAD"/>
    <w:rsid w:val="00990B6F"/>
    <w:rsid w:val="009913BC"/>
    <w:rsid w:val="0099161B"/>
    <w:rsid w:val="00991917"/>
    <w:rsid w:val="00992D58"/>
    <w:rsid w:val="00992E48"/>
    <w:rsid w:val="00992F49"/>
    <w:rsid w:val="0099386A"/>
    <w:rsid w:val="00993DE3"/>
    <w:rsid w:val="00994C0F"/>
    <w:rsid w:val="00995A06"/>
    <w:rsid w:val="00995F09"/>
    <w:rsid w:val="0099618C"/>
    <w:rsid w:val="009963CE"/>
    <w:rsid w:val="00996A86"/>
    <w:rsid w:val="0099731C"/>
    <w:rsid w:val="009973C7"/>
    <w:rsid w:val="00997A3D"/>
    <w:rsid w:val="00997D16"/>
    <w:rsid w:val="009A06B1"/>
    <w:rsid w:val="009A078C"/>
    <w:rsid w:val="009A079D"/>
    <w:rsid w:val="009A0B81"/>
    <w:rsid w:val="009A0EA8"/>
    <w:rsid w:val="009A22E7"/>
    <w:rsid w:val="009A3032"/>
    <w:rsid w:val="009A319F"/>
    <w:rsid w:val="009A343B"/>
    <w:rsid w:val="009A3473"/>
    <w:rsid w:val="009A3C9C"/>
    <w:rsid w:val="009A3F5B"/>
    <w:rsid w:val="009A406C"/>
    <w:rsid w:val="009A40D3"/>
    <w:rsid w:val="009A4361"/>
    <w:rsid w:val="009A4DA9"/>
    <w:rsid w:val="009A4F8A"/>
    <w:rsid w:val="009A5AE8"/>
    <w:rsid w:val="009A6258"/>
    <w:rsid w:val="009A6E93"/>
    <w:rsid w:val="009A72DC"/>
    <w:rsid w:val="009A775E"/>
    <w:rsid w:val="009B06D1"/>
    <w:rsid w:val="009B1CED"/>
    <w:rsid w:val="009B2962"/>
    <w:rsid w:val="009B2AE5"/>
    <w:rsid w:val="009B351A"/>
    <w:rsid w:val="009B3585"/>
    <w:rsid w:val="009B4034"/>
    <w:rsid w:val="009B436C"/>
    <w:rsid w:val="009B5096"/>
    <w:rsid w:val="009B5C93"/>
    <w:rsid w:val="009B61DA"/>
    <w:rsid w:val="009B6D9F"/>
    <w:rsid w:val="009B7745"/>
    <w:rsid w:val="009C06C6"/>
    <w:rsid w:val="009C0AC4"/>
    <w:rsid w:val="009C0E2A"/>
    <w:rsid w:val="009C1C8D"/>
    <w:rsid w:val="009C265D"/>
    <w:rsid w:val="009C4F8D"/>
    <w:rsid w:val="009C5041"/>
    <w:rsid w:val="009C5BAA"/>
    <w:rsid w:val="009C6EB9"/>
    <w:rsid w:val="009C7AAF"/>
    <w:rsid w:val="009C7C3F"/>
    <w:rsid w:val="009D0A37"/>
    <w:rsid w:val="009D0BFB"/>
    <w:rsid w:val="009D1F48"/>
    <w:rsid w:val="009D38F6"/>
    <w:rsid w:val="009D4021"/>
    <w:rsid w:val="009D44C0"/>
    <w:rsid w:val="009D494B"/>
    <w:rsid w:val="009D4E2E"/>
    <w:rsid w:val="009D4EC4"/>
    <w:rsid w:val="009D4F74"/>
    <w:rsid w:val="009D5210"/>
    <w:rsid w:val="009D5728"/>
    <w:rsid w:val="009D5D36"/>
    <w:rsid w:val="009D727C"/>
    <w:rsid w:val="009D74EA"/>
    <w:rsid w:val="009D7A03"/>
    <w:rsid w:val="009E0765"/>
    <w:rsid w:val="009E0A9F"/>
    <w:rsid w:val="009E11C8"/>
    <w:rsid w:val="009E1F62"/>
    <w:rsid w:val="009E24E9"/>
    <w:rsid w:val="009E2A32"/>
    <w:rsid w:val="009E3061"/>
    <w:rsid w:val="009E315F"/>
    <w:rsid w:val="009E3D15"/>
    <w:rsid w:val="009E46BC"/>
    <w:rsid w:val="009E4F66"/>
    <w:rsid w:val="009E5716"/>
    <w:rsid w:val="009E5D3D"/>
    <w:rsid w:val="009E69F9"/>
    <w:rsid w:val="009E7A28"/>
    <w:rsid w:val="009F1EBC"/>
    <w:rsid w:val="009F2C6F"/>
    <w:rsid w:val="009F30BF"/>
    <w:rsid w:val="009F3C03"/>
    <w:rsid w:val="009F3F63"/>
    <w:rsid w:val="009F418D"/>
    <w:rsid w:val="009F4B12"/>
    <w:rsid w:val="009F5672"/>
    <w:rsid w:val="009F56B6"/>
    <w:rsid w:val="009F5857"/>
    <w:rsid w:val="009F5932"/>
    <w:rsid w:val="009F5C85"/>
    <w:rsid w:val="009F6ECF"/>
    <w:rsid w:val="00A00359"/>
    <w:rsid w:val="00A0191B"/>
    <w:rsid w:val="00A01BA7"/>
    <w:rsid w:val="00A02447"/>
    <w:rsid w:val="00A02FAD"/>
    <w:rsid w:val="00A0365B"/>
    <w:rsid w:val="00A03B95"/>
    <w:rsid w:val="00A04022"/>
    <w:rsid w:val="00A04078"/>
    <w:rsid w:val="00A049A3"/>
    <w:rsid w:val="00A04E09"/>
    <w:rsid w:val="00A05018"/>
    <w:rsid w:val="00A05182"/>
    <w:rsid w:val="00A06B5D"/>
    <w:rsid w:val="00A1029A"/>
    <w:rsid w:val="00A10529"/>
    <w:rsid w:val="00A10B78"/>
    <w:rsid w:val="00A10D6E"/>
    <w:rsid w:val="00A1123C"/>
    <w:rsid w:val="00A116BF"/>
    <w:rsid w:val="00A119E1"/>
    <w:rsid w:val="00A130F5"/>
    <w:rsid w:val="00A134BD"/>
    <w:rsid w:val="00A13E4D"/>
    <w:rsid w:val="00A14FB6"/>
    <w:rsid w:val="00A15B49"/>
    <w:rsid w:val="00A16CD8"/>
    <w:rsid w:val="00A16D03"/>
    <w:rsid w:val="00A173A2"/>
    <w:rsid w:val="00A175B8"/>
    <w:rsid w:val="00A17B7D"/>
    <w:rsid w:val="00A17E3E"/>
    <w:rsid w:val="00A2085A"/>
    <w:rsid w:val="00A21870"/>
    <w:rsid w:val="00A219BE"/>
    <w:rsid w:val="00A21F9B"/>
    <w:rsid w:val="00A22C31"/>
    <w:rsid w:val="00A2436B"/>
    <w:rsid w:val="00A24371"/>
    <w:rsid w:val="00A24B34"/>
    <w:rsid w:val="00A25B15"/>
    <w:rsid w:val="00A263B8"/>
    <w:rsid w:val="00A2664C"/>
    <w:rsid w:val="00A2703D"/>
    <w:rsid w:val="00A272E4"/>
    <w:rsid w:val="00A327ED"/>
    <w:rsid w:val="00A3305C"/>
    <w:rsid w:val="00A33DC2"/>
    <w:rsid w:val="00A358F7"/>
    <w:rsid w:val="00A37C2B"/>
    <w:rsid w:val="00A409C9"/>
    <w:rsid w:val="00A419AA"/>
    <w:rsid w:val="00A41BD0"/>
    <w:rsid w:val="00A426D7"/>
    <w:rsid w:val="00A42947"/>
    <w:rsid w:val="00A43117"/>
    <w:rsid w:val="00A43603"/>
    <w:rsid w:val="00A4377E"/>
    <w:rsid w:val="00A4384F"/>
    <w:rsid w:val="00A44190"/>
    <w:rsid w:val="00A441B9"/>
    <w:rsid w:val="00A44437"/>
    <w:rsid w:val="00A45D57"/>
    <w:rsid w:val="00A47834"/>
    <w:rsid w:val="00A47DB2"/>
    <w:rsid w:val="00A506D1"/>
    <w:rsid w:val="00A50938"/>
    <w:rsid w:val="00A50FA5"/>
    <w:rsid w:val="00A5172A"/>
    <w:rsid w:val="00A5175D"/>
    <w:rsid w:val="00A5197C"/>
    <w:rsid w:val="00A520D0"/>
    <w:rsid w:val="00A528B0"/>
    <w:rsid w:val="00A52927"/>
    <w:rsid w:val="00A53023"/>
    <w:rsid w:val="00A5317D"/>
    <w:rsid w:val="00A53193"/>
    <w:rsid w:val="00A5341D"/>
    <w:rsid w:val="00A53456"/>
    <w:rsid w:val="00A534C9"/>
    <w:rsid w:val="00A5369E"/>
    <w:rsid w:val="00A53812"/>
    <w:rsid w:val="00A53CF8"/>
    <w:rsid w:val="00A54526"/>
    <w:rsid w:val="00A547FE"/>
    <w:rsid w:val="00A55942"/>
    <w:rsid w:val="00A55A55"/>
    <w:rsid w:val="00A56510"/>
    <w:rsid w:val="00A56D3A"/>
    <w:rsid w:val="00A6017D"/>
    <w:rsid w:val="00A602D3"/>
    <w:rsid w:val="00A60C87"/>
    <w:rsid w:val="00A61045"/>
    <w:rsid w:val="00A61776"/>
    <w:rsid w:val="00A61818"/>
    <w:rsid w:val="00A6243F"/>
    <w:rsid w:val="00A62BDE"/>
    <w:rsid w:val="00A62DED"/>
    <w:rsid w:val="00A62F33"/>
    <w:rsid w:val="00A64668"/>
    <w:rsid w:val="00A64D5A"/>
    <w:rsid w:val="00A651A4"/>
    <w:rsid w:val="00A65450"/>
    <w:rsid w:val="00A6566E"/>
    <w:rsid w:val="00A65A1F"/>
    <w:rsid w:val="00A65E67"/>
    <w:rsid w:val="00A6666F"/>
    <w:rsid w:val="00A66FDF"/>
    <w:rsid w:val="00A67068"/>
    <w:rsid w:val="00A67762"/>
    <w:rsid w:val="00A703C3"/>
    <w:rsid w:val="00A70482"/>
    <w:rsid w:val="00A704F8"/>
    <w:rsid w:val="00A70A12"/>
    <w:rsid w:val="00A70DDC"/>
    <w:rsid w:val="00A71937"/>
    <w:rsid w:val="00A71BC4"/>
    <w:rsid w:val="00A71CDE"/>
    <w:rsid w:val="00A72454"/>
    <w:rsid w:val="00A72AAB"/>
    <w:rsid w:val="00A72C36"/>
    <w:rsid w:val="00A7442D"/>
    <w:rsid w:val="00A7468A"/>
    <w:rsid w:val="00A74C71"/>
    <w:rsid w:val="00A75101"/>
    <w:rsid w:val="00A7636A"/>
    <w:rsid w:val="00A772EB"/>
    <w:rsid w:val="00A7754A"/>
    <w:rsid w:val="00A77BE5"/>
    <w:rsid w:val="00A8016D"/>
    <w:rsid w:val="00A8123D"/>
    <w:rsid w:val="00A818CB"/>
    <w:rsid w:val="00A81DC6"/>
    <w:rsid w:val="00A828AD"/>
    <w:rsid w:val="00A82EDF"/>
    <w:rsid w:val="00A849FC"/>
    <w:rsid w:val="00A84AD8"/>
    <w:rsid w:val="00A84C96"/>
    <w:rsid w:val="00A85B8E"/>
    <w:rsid w:val="00A85F97"/>
    <w:rsid w:val="00A866BE"/>
    <w:rsid w:val="00A867C2"/>
    <w:rsid w:val="00A86FCC"/>
    <w:rsid w:val="00A878A7"/>
    <w:rsid w:val="00A87FAD"/>
    <w:rsid w:val="00A904D8"/>
    <w:rsid w:val="00A917DB"/>
    <w:rsid w:val="00A91926"/>
    <w:rsid w:val="00A91D57"/>
    <w:rsid w:val="00A92930"/>
    <w:rsid w:val="00A9301F"/>
    <w:rsid w:val="00A93619"/>
    <w:rsid w:val="00A94693"/>
    <w:rsid w:val="00A9471A"/>
    <w:rsid w:val="00A94D68"/>
    <w:rsid w:val="00A952F8"/>
    <w:rsid w:val="00A955F4"/>
    <w:rsid w:val="00A969F1"/>
    <w:rsid w:val="00A96FF8"/>
    <w:rsid w:val="00A9768C"/>
    <w:rsid w:val="00A97B20"/>
    <w:rsid w:val="00AA0516"/>
    <w:rsid w:val="00AA0FA3"/>
    <w:rsid w:val="00AA10C2"/>
    <w:rsid w:val="00AA1B98"/>
    <w:rsid w:val="00AA2509"/>
    <w:rsid w:val="00AA26AF"/>
    <w:rsid w:val="00AA406E"/>
    <w:rsid w:val="00AA43E6"/>
    <w:rsid w:val="00AA4787"/>
    <w:rsid w:val="00AA5643"/>
    <w:rsid w:val="00AA5676"/>
    <w:rsid w:val="00AA59A8"/>
    <w:rsid w:val="00AA5D00"/>
    <w:rsid w:val="00AA63B6"/>
    <w:rsid w:val="00AA76F0"/>
    <w:rsid w:val="00AA7797"/>
    <w:rsid w:val="00AA7888"/>
    <w:rsid w:val="00AA7ED2"/>
    <w:rsid w:val="00AB082D"/>
    <w:rsid w:val="00AB0CEE"/>
    <w:rsid w:val="00AB1DC4"/>
    <w:rsid w:val="00AB1DEB"/>
    <w:rsid w:val="00AB2616"/>
    <w:rsid w:val="00AB2AA3"/>
    <w:rsid w:val="00AB2B34"/>
    <w:rsid w:val="00AB3414"/>
    <w:rsid w:val="00AB4950"/>
    <w:rsid w:val="00AB563B"/>
    <w:rsid w:val="00AB628F"/>
    <w:rsid w:val="00AB6FD3"/>
    <w:rsid w:val="00AB72AD"/>
    <w:rsid w:val="00AC184B"/>
    <w:rsid w:val="00AC1DA5"/>
    <w:rsid w:val="00AC1DBE"/>
    <w:rsid w:val="00AC2908"/>
    <w:rsid w:val="00AC3597"/>
    <w:rsid w:val="00AC379B"/>
    <w:rsid w:val="00AC5C1E"/>
    <w:rsid w:val="00AC60DF"/>
    <w:rsid w:val="00AC62E1"/>
    <w:rsid w:val="00AC6602"/>
    <w:rsid w:val="00AC7195"/>
    <w:rsid w:val="00AC77A2"/>
    <w:rsid w:val="00AD0348"/>
    <w:rsid w:val="00AD1233"/>
    <w:rsid w:val="00AD14BB"/>
    <w:rsid w:val="00AD1B34"/>
    <w:rsid w:val="00AD1E6C"/>
    <w:rsid w:val="00AD49FA"/>
    <w:rsid w:val="00AD4E36"/>
    <w:rsid w:val="00AD5626"/>
    <w:rsid w:val="00AD61A2"/>
    <w:rsid w:val="00AD6FB6"/>
    <w:rsid w:val="00AD77A7"/>
    <w:rsid w:val="00AE08B1"/>
    <w:rsid w:val="00AE0A51"/>
    <w:rsid w:val="00AE14BF"/>
    <w:rsid w:val="00AE15D8"/>
    <w:rsid w:val="00AE15EC"/>
    <w:rsid w:val="00AE200E"/>
    <w:rsid w:val="00AE2124"/>
    <w:rsid w:val="00AE256D"/>
    <w:rsid w:val="00AE38BC"/>
    <w:rsid w:val="00AE3EEF"/>
    <w:rsid w:val="00AE4FD6"/>
    <w:rsid w:val="00AE5422"/>
    <w:rsid w:val="00AE620D"/>
    <w:rsid w:val="00AE6393"/>
    <w:rsid w:val="00AE65F4"/>
    <w:rsid w:val="00AE6D16"/>
    <w:rsid w:val="00AE7374"/>
    <w:rsid w:val="00AF08ED"/>
    <w:rsid w:val="00AF1278"/>
    <w:rsid w:val="00AF1672"/>
    <w:rsid w:val="00AF2790"/>
    <w:rsid w:val="00AF2FB0"/>
    <w:rsid w:val="00AF328D"/>
    <w:rsid w:val="00AF32E8"/>
    <w:rsid w:val="00AF4937"/>
    <w:rsid w:val="00AF4BBC"/>
    <w:rsid w:val="00AF4D38"/>
    <w:rsid w:val="00AF4ED7"/>
    <w:rsid w:val="00AF5FEA"/>
    <w:rsid w:val="00AF628D"/>
    <w:rsid w:val="00AF6539"/>
    <w:rsid w:val="00AF6EB6"/>
    <w:rsid w:val="00AF7194"/>
    <w:rsid w:val="00AF72D9"/>
    <w:rsid w:val="00AF79A3"/>
    <w:rsid w:val="00B00DAD"/>
    <w:rsid w:val="00B01235"/>
    <w:rsid w:val="00B017D9"/>
    <w:rsid w:val="00B01EA7"/>
    <w:rsid w:val="00B02457"/>
    <w:rsid w:val="00B027A6"/>
    <w:rsid w:val="00B034B6"/>
    <w:rsid w:val="00B0361A"/>
    <w:rsid w:val="00B04774"/>
    <w:rsid w:val="00B04CF5"/>
    <w:rsid w:val="00B05F89"/>
    <w:rsid w:val="00B065AB"/>
    <w:rsid w:val="00B06823"/>
    <w:rsid w:val="00B07731"/>
    <w:rsid w:val="00B077C9"/>
    <w:rsid w:val="00B12218"/>
    <w:rsid w:val="00B12834"/>
    <w:rsid w:val="00B138E5"/>
    <w:rsid w:val="00B13C47"/>
    <w:rsid w:val="00B13CCD"/>
    <w:rsid w:val="00B13E20"/>
    <w:rsid w:val="00B143F6"/>
    <w:rsid w:val="00B15304"/>
    <w:rsid w:val="00B155FA"/>
    <w:rsid w:val="00B16514"/>
    <w:rsid w:val="00B16D78"/>
    <w:rsid w:val="00B1714C"/>
    <w:rsid w:val="00B17E13"/>
    <w:rsid w:val="00B201BC"/>
    <w:rsid w:val="00B20317"/>
    <w:rsid w:val="00B2070A"/>
    <w:rsid w:val="00B20DA4"/>
    <w:rsid w:val="00B21690"/>
    <w:rsid w:val="00B23657"/>
    <w:rsid w:val="00B23A57"/>
    <w:rsid w:val="00B23BB1"/>
    <w:rsid w:val="00B24B36"/>
    <w:rsid w:val="00B2579D"/>
    <w:rsid w:val="00B259B6"/>
    <w:rsid w:val="00B26179"/>
    <w:rsid w:val="00B2646E"/>
    <w:rsid w:val="00B26F44"/>
    <w:rsid w:val="00B276E0"/>
    <w:rsid w:val="00B27BBE"/>
    <w:rsid w:val="00B2B59E"/>
    <w:rsid w:val="00B30348"/>
    <w:rsid w:val="00B3154A"/>
    <w:rsid w:val="00B31E29"/>
    <w:rsid w:val="00B32717"/>
    <w:rsid w:val="00B32757"/>
    <w:rsid w:val="00B32BCB"/>
    <w:rsid w:val="00B32E18"/>
    <w:rsid w:val="00B32E26"/>
    <w:rsid w:val="00B351F4"/>
    <w:rsid w:val="00B3588F"/>
    <w:rsid w:val="00B35C51"/>
    <w:rsid w:val="00B362AA"/>
    <w:rsid w:val="00B36561"/>
    <w:rsid w:val="00B366A2"/>
    <w:rsid w:val="00B36D63"/>
    <w:rsid w:val="00B36F5B"/>
    <w:rsid w:val="00B36F87"/>
    <w:rsid w:val="00B37B27"/>
    <w:rsid w:val="00B40349"/>
    <w:rsid w:val="00B403FD"/>
    <w:rsid w:val="00B40CF8"/>
    <w:rsid w:val="00B412CB"/>
    <w:rsid w:val="00B4215C"/>
    <w:rsid w:val="00B422DB"/>
    <w:rsid w:val="00B42595"/>
    <w:rsid w:val="00B43374"/>
    <w:rsid w:val="00B4342D"/>
    <w:rsid w:val="00B4344A"/>
    <w:rsid w:val="00B43703"/>
    <w:rsid w:val="00B439C7"/>
    <w:rsid w:val="00B43D1D"/>
    <w:rsid w:val="00B440D2"/>
    <w:rsid w:val="00B44226"/>
    <w:rsid w:val="00B45232"/>
    <w:rsid w:val="00B45E7A"/>
    <w:rsid w:val="00B45FD4"/>
    <w:rsid w:val="00B469EC"/>
    <w:rsid w:val="00B46D2B"/>
    <w:rsid w:val="00B46DCA"/>
    <w:rsid w:val="00B46F1D"/>
    <w:rsid w:val="00B4756E"/>
    <w:rsid w:val="00B50A8F"/>
    <w:rsid w:val="00B50CFF"/>
    <w:rsid w:val="00B50D4F"/>
    <w:rsid w:val="00B5117B"/>
    <w:rsid w:val="00B514F0"/>
    <w:rsid w:val="00B51700"/>
    <w:rsid w:val="00B51A7B"/>
    <w:rsid w:val="00B51DE9"/>
    <w:rsid w:val="00B51EDB"/>
    <w:rsid w:val="00B51F76"/>
    <w:rsid w:val="00B523E4"/>
    <w:rsid w:val="00B52BCE"/>
    <w:rsid w:val="00B53119"/>
    <w:rsid w:val="00B53C6B"/>
    <w:rsid w:val="00B545B1"/>
    <w:rsid w:val="00B549FB"/>
    <w:rsid w:val="00B55036"/>
    <w:rsid w:val="00B55720"/>
    <w:rsid w:val="00B55DB6"/>
    <w:rsid w:val="00B56CCD"/>
    <w:rsid w:val="00B56F08"/>
    <w:rsid w:val="00B574DF"/>
    <w:rsid w:val="00B57DAF"/>
    <w:rsid w:val="00B604FA"/>
    <w:rsid w:val="00B618B7"/>
    <w:rsid w:val="00B61BA5"/>
    <w:rsid w:val="00B626D1"/>
    <w:rsid w:val="00B62D33"/>
    <w:rsid w:val="00B62D42"/>
    <w:rsid w:val="00B62FFF"/>
    <w:rsid w:val="00B63820"/>
    <w:rsid w:val="00B64073"/>
    <w:rsid w:val="00B643D3"/>
    <w:rsid w:val="00B656BB"/>
    <w:rsid w:val="00B659CD"/>
    <w:rsid w:val="00B65D50"/>
    <w:rsid w:val="00B65E2A"/>
    <w:rsid w:val="00B66327"/>
    <w:rsid w:val="00B66BE4"/>
    <w:rsid w:val="00B670A1"/>
    <w:rsid w:val="00B67263"/>
    <w:rsid w:val="00B674B8"/>
    <w:rsid w:val="00B70058"/>
    <w:rsid w:val="00B70435"/>
    <w:rsid w:val="00B7147C"/>
    <w:rsid w:val="00B719B8"/>
    <w:rsid w:val="00B71D8D"/>
    <w:rsid w:val="00B71FB2"/>
    <w:rsid w:val="00B727AA"/>
    <w:rsid w:val="00B72A05"/>
    <w:rsid w:val="00B72BA6"/>
    <w:rsid w:val="00B72C01"/>
    <w:rsid w:val="00B73E05"/>
    <w:rsid w:val="00B747BF"/>
    <w:rsid w:val="00B74B89"/>
    <w:rsid w:val="00B7512E"/>
    <w:rsid w:val="00B7536B"/>
    <w:rsid w:val="00B756B0"/>
    <w:rsid w:val="00B7690E"/>
    <w:rsid w:val="00B77597"/>
    <w:rsid w:val="00B77F94"/>
    <w:rsid w:val="00B80238"/>
    <w:rsid w:val="00B80250"/>
    <w:rsid w:val="00B80C3E"/>
    <w:rsid w:val="00B80E42"/>
    <w:rsid w:val="00B81142"/>
    <w:rsid w:val="00B81841"/>
    <w:rsid w:val="00B83631"/>
    <w:rsid w:val="00B83ACC"/>
    <w:rsid w:val="00B8415A"/>
    <w:rsid w:val="00B84A78"/>
    <w:rsid w:val="00B84B08"/>
    <w:rsid w:val="00B852A5"/>
    <w:rsid w:val="00B852F8"/>
    <w:rsid w:val="00B864A2"/>
    <w:rsid w:val="00B875A6"/>
    <w:rsid w:val="00B87C58"/>
    <w:rsid w:val="00B87C82"/>
    <w:rsid w:val="00B90385"/>
    <w:rsid w:val="00B906DA"/>
    <w:rsid w:val="00B90ECD"/>
    <w:rsid w:val="00B91117"/>
    <w:rsid w:val="00B91416"/>
    <w:rsid w:val="00B91D1D"/>
    <w:rsid w:val="00B92129"/>
    <w:rsid w:val="00B926BE"/>
    <w:rsid w:val="00B9427A"/>
    <w:rsid w:val="00B94B5C"/>
    <w:rsid w:val="00B94BC9"/>
    <w:rsid w:val="00B95578"/>
    <w:rsid w:val="00B95872"/>
    <w:rsid w:val="00B9693D"/>
    <w:rsid w:val="00B9749A"/>
    <w:rsid w:val="00B97CC0"/>
    <w:rsid w:val="00BA055F"/>
    <w:rsid w:val="00BA0BDE"/>
    <w:rsid w:val="00BA0C0A"/>
    <w:rsid w:val="00BA10F1"/>
    <w:rsid w:val="00BA1125"/>
    <w:rsid w:val="00BA113A"/>
    <w:rsid w:val="00BA1B09"/>
    <w:rsid w:val="00BA23F0"/>
    <w:rsid w:val="00BA28AB"/>
    <w:rsid w:val="00BA36CF"/>
    <w:rsid w:val="00BA3D21"/>
    <w:rsid w:val="00BA4B78"/>
    <w:rsid w:val="00BA521A"/>
    <w:rsid w:val="00BA5606"/>
    <w:rsid w:val="00BA56EA"/>
    <w:rsid w:val="00BA5B85"/>
    <w:rsid w:val="00BA5F2F"/>
    <w:rsid w:val="00BA6453"/>
    <w:rsid w:val="00BA66A1"/>
    <w:rsid w:val="00BB094D"/>
    <w:rsid w:val="00BB0AF1"/>
    <w:rsid w:val="00BB1700"/>
    <w:rsid w:val="00BB1E93"/>
    <w:rsid w:val="00BB3089"/>
    <w:rsid w:val="00BB32C0"/>
    <w:rsid w:val="00BB3431"/>
    <w:rsid w:val="00BB363D"/>
    <w:rsid w:val="00BB3D3C"/>
    <w:rsid w:val="00BB3F08"/>
    <w:rsid w:val="00BB5526"/>
    <w:rsid w:val="00BB57E3"/>
    <w:rsid w:val="00BB5E88"/>
    <w:rsid w:val="00BB5F2A"/>
    <w:rsid w:val="00BB63F6"/>
    <w:rsid w:val="00BB6B46"/>
    <w:rsid w:val="00BB793E"/>
    <w:rsid w:val="00BB7B8A"/>
    <w:rsid w:val="00BB7FE3"/>
    <w:rsid w:val="00BC0446"/>
    <w:rsid w:val="00BC0A92"/>
    <w:rsid w:val="00BC166E"/>
    <w:rsid w:val="00BC1BCB"/>
    <w:rsid w:val="00BC1C48"/>
    <w:rsid w:val="00BC1D74"/>
    <w:rsid w:val="00BC29E7"/>
    <w:rsid w:val="00BC328F"/>
    <w:rsid w:val="00BC334F"/>
    <w:rsid w:val="00BC35DF"/>
    <w:rsid w:val="00BC3E9D"/>
    <w:rsid w:val="00BC3F60"/>
    <w:rsid w:val="00BC44E5"/>
    <w:rsid w:val="00BC4763"/>
    <w:rsid w:val="00BC62AE"/>
    <w:rsid w:val="00BC6D99"/>
    <w:rsid w:val="00BC7B2D"/>
    <w:rsid w:val="00BC7EFD"/>
    <w:rsid w:val="00BD0E77"/>
    <w:rsid w:val="00BD1B95"/>
    <w:rsid w:val="00BD37F2"/>
    <w:rsid w:val="00BD3952"/>
    <w:rsid w:val="00BD3BA1"/>
    <w:rsid w:val="00BD4122"/>
    <w:rsid w:val="00BD532B"/>
    <w:rsid w:val="00BD598F"/>
    <w:rsid w:val="00BD59A1"/>
    <w:rsid w:val="00BD67EC"/>
    <w:rsid w:val="00BD6997"/>
    <w:rsid w:val="00BD6FEE"/>
    <w:rsid w:val="00BE0BF0"/>
    <w:rsid w:val="00BE1BB2"/>
    <w:rsid w:val="00BE2BE9"/>
    <w:rsid w:val="00BE31A0"/>
    <w:rsid w:val="00BE3999"/>
    <w:rsid w:val="00BE39B7"/>
    <w:rsid w:val="00BE3E6B"/>
    <w:rsid w:val="00BE4000"/>
    <w:rsid w:val="00BE480D"/>
    <w:rsid w:val="00BE4B17"/>
    <w:rsid w:val="00BE4B5E"/>
    <w:rsid w:val="00BE6A7F"/>
    <w:rsid w:val="00BE6C2B"/>
    <w:rsid w:val="00BE7638"/>
    <w:rsid w:val="00BE7DEF"/>
    <w:rsid w:val="00BF02F4"/>
    <w:rsid w:val="00BF0898"/>
    <w:rsid w:val="00BF0C46"/>
    <w:rsid w:val="00BF12F7"/>
    <w:rsid w:val="00BF1526"/>
    <w:rsid w:val="00BF15C7"/>
    <w:rsid w:val="00BF1652"/>
    <w:rsid w:val="00BF1B8F"/>
    <w:rsid w:val="00BF1E29"/>
    <w:rsid w:val="00BF2173"/>
    <w:rsid w:val="00BF2258"/>
    <w:rsid w:val="00BF24CC"/>
    <w:rsid w:val="00BF3E07"/>
    <w:rsid w:val="00BF40E6"/>
    <w:rsid w:val="00BF410B"/>
    <w:rsid w:val="00BF43AC"/>
    <w:rsid w:val="00BF44E6"/>
    <w:rsid w:val="00BF4BA5"/>
    <w:rsid w:val="00BF4F5D"/>
    <w:rsid w:val="00BF57A2"/>
    <w:rsid w:val="00BF624C"/>
    <w:rsid w:val="00BF6853"/>
    <w:rsid w:val="00BF74AC"/>
    <w:rsid w:val="00C001E9"/>
    <w:rsid w:val="00C00899"/>
    <w:rsid w:val="00C0191D"/>
    <w:rsid w:val="00C0252E"/>
    <w:rsid w:val="00C02939"/>
    <w:rsid w:val="00C032F7"/>
    <w:rsid w:val="00C0338F"/>
    <w:rsid w:val="00C03403"/>
    <w:rsid w:val="00C0384D"/>
    <w:rsid w:val="00C041BD"/>
    <w:rsid w:val="00C0445D"/>
    <w:rsid w:val="00C04689"/>
    <w:rsid w:val="00C053CE"/>
    <w:rsid w:val="00C0557A"/>
    <w:rsid w:val="00C06490"/>
    <w:rsid w:val="00C069B1"/>
    <w:rsid w:val="00C06A01"/>
    <w:rsid w:val="00C06B2E"/>
    <w:rsid w:val="00C06BD5"/>
    <w:rsid w:val="00C0764B"/>
    <w:rsid w:val="00C07E64"/>
    <w:rsid w:val="00C100C8"/>
    <w:rsid w:val="00C10671"/>
    <w:rsid w:val="00C106C3"/>
    <w:rsid w:val="00C107B9"/>
    <w:rsid w:val="00C12895"/>
    <w:rsid w:val="00C148B8"/>
    <w:rsid w:val="00C14A68"/>
    <w:rsid w:val="00C14BDD"/>
    <w:rsid w:val="00C15B5A"/>
    <w:rsid w:val="00C15F8B"/>
    <w:rsid w:val="00C1605D"/>
    <w:rsid w:val="00C1614B"/>
    <w:rsid w:val="00C1660F"/>
    <w:rsid w:val="00C16F36"/>
    <w:rsid w:val="00C1725C"/>
    <w:rsid w:val="00C17E7D"/>
    <w:rsid w:val="00C20061"/>
    <w:rsid w:val="00C205DF"/>
    <w:rsid w:val="00C218FC"/>
    <w:rsid w:val="00C21E05"/>
    <w:rsid w:val="00C223B3"/>
    <w:rsid w:val="00C226B2"/>
    <w:rsid w:val="00C2294D"/>
    <w:rsid w:val="00C22DC9"/>
    <w:rsid w:val="00C22E2D"/>
    <w:rsid w:val="00C23FD5"/>
    <w:rsid w:val="00C242EA"/>
    <w:rsid w:val="00C243D7"/>
    <w:rsid w:val="00C2463B"/>
    <w:rsid w:val="00C247D1"/>
    <w:rsid w:val="00C24B37"/>
    <w:rsid w:val="00C250EE"/>
    <w:rsid w:val="00C25F59"/>
    <w:rsid w:val="00C276D5"/>
    <w:rsid w:val="00C27732"/>
    <w:rsid w:val="00C2781F"/>
    <w:rsid w:val="00C300F5"/>
    <w:rsid w:val="00C305F9"/>
    <w:rsid w:val="00C306CA"/>
    <w:rsid w:val="00C30C21"/>
    <w:rsid w:val="00C30F35"/>
    <w:rsid w:val="00C30F68"/>
    <w:rsid w:val="00C32580"/>
    <w:rsid w:val="00C3284B"/>
    <w:rsid w:val="00C329C3"/>
    <w:rsid w:val="00C33977"/>
    <w:rsid w:val="00C342AC"/>
    <w:rsid w:val="00C34493"/>
    <w:rsid w:val="00C34B21"/>
    <w:rsid w:val="00C35FD9"/>
    <w:rsid w:val="00C3654C"/>
    <w:rsid w:val="00C37918"/>
    <w:rsid w:val="00C37B92"/>
    <w:rsid w:val="00C37DB9"/>
    <w:rsid w:val="00C404E1"/>
    <w:rsid w:val="00C40AF9"/>
    <w:rsid w:val="00C40B75"/>
    <w:rsid w:val="00C415B3"/>
    <w:rsid w:val="00C418DE"/>
    <w:rsid w:val="00C419CE"/>
    <w:rsid w:val="00C422FD"/>
    <w:rsid w:val="00C42A79"/>
    <w:rsid w:val="00C43422"/>
    <w:rsid w:val="00C438E2"/>
    <w:rsid w:val="00C43964"/>
    <w:rsid w:val="00C43D33"/>
    <w:rsid w:val="00C43F13"/>
    <w:rsid w:val="00C44901"/>
    <w:rsid w:val="00C44C4D"/>
    <w:rsid w:val="00C45DC5"/>
    <w:rsid w:val="00C46614"/>
    <w:rsid w:val="00C46B46"/>
    <w:rsid w:val="00C47236"/>
    <w:rsid w:val="00C479A0"/>
    <w:rsid w:val="00C47AA3"/>
    <w:rsid w:val="00C47BF6"/>
    <w:rsid w:val="00C5043A"/>
    <w:rsid w:val="00C50894"/>
    <w:rsid w:val="00C51197"/>
    <w:rsid w:val="00C511C9"/>
    <w:rsid w:val="00C52059"/>
    <w:rsid w:val="00C5256C"/>
    <w:rsid w:val="00C5287A"/>
    <w:rsid w:val="00C52FB4"/>
    <w:rsid w:val="00C531BF"/>
    <w:rsid w:val="00C5325E"/>
    <w:rsid w:val="00C53A8B"/>
    <w:rsid w:val="00C55194"/>
    <w:rsid w:val="00C551FE"/>
    <w:rsid w:val="00C564A4"/>
    <w:rsid w:val="00C5661D"/>
    <w:rsid w:val="00C579C1"/>
    <w:rsid w:val="00C57DE8"/>
    <w:rsid w:val="00C600D4"/>
    <w:rsid w:val="00C6041D"/>
    <w:rsid w:val="00C609D4"/>
    <w:rsid w:val="00C60EE8"/>
    <w:rsid w:val="00C612AD"/>
    <w:rsid w:val="00C61768"/>
    <w:rsid w:val="00C6210E"/>
    <w:rsid w:val="00C628FA"/>
    <w:rsid w:val="00C63720"/>
    <w:rsid w:val="00C63F84"/>
    <w:rsid w:val="00C6459B"/>
    <w:rsid w:val="00C64B4E"/>
    <w:rsid w:val="00C65203"/>
    <w:rsid w:val="00C65B2F"/>
    <w:rsid w:val="00C665A5"/>
    <w:rsid w:val="00C666DA"/>
    <w:rsid w:val="00C66AF6"/>
    <w:rsid w:val="00C67131"/>
    <w:rsid w:val="00C70C63"/>
    <w:rsid w:val="00C7221A"/>
    <w:rsid w:val="00C72709"/>
    <w:rsid w:val="00C72D23"/>
    <w:rsid w:val="00C72EAE"/>
    <w:rsid w:val="00C73009"/>
    <w:rsid w:val="00C737BD"/>
    <w:rsid w:val="00C7486F"/>
    <w:rsid w:val="00C74C07"/>
    <w:rsid w:val="00C75E93"/>
    <w:rsid w:val="00C76029"/>
    <w:rsid w:val="00C7662A"/>
    <w:rsid w:val="00C77BB4"/>
    <w:rsid w:val="00C81602"/>
    <w:rsid w:val="00C81CDD"/>
    <w:rsid w:val="00C82484"/>
    <w:rsid w:val="00C8251F"/>
    <w:rsid w:val="00C82911"/>
    <w:rsid w:val="00C82C2C"/>
    <w:rsid w:val="00C833E8"/>
    <w:rsid w:val="00C838F4"/>
    <w:rsid w:val="00C839F8"/>
    <w:rsid w:val="00C84087"/>
    <w:rsid w:val="00C84376"/>
    <w:rsid w:val="00C84FF6"/>
    <w:rsid w:val="00C850B0"/>
    <w:rsid w:val="00C8583A"/>
    <w:rsid w:val="00C8620D"/>
    <w:rsid w:val="00C872EE"/>
    <w:rsid w:val="00C873FE"/>
    <w:rsid w:val="00C9006A"/>
    <w:rsid w:val="00C90238"/>
    <w:rsid w:val="00C902DB"/>
    <w:rsid w:val="00C922FD"/>
    <w:rsid w:val="00C924AE"/>
    <w:rsid w:val="00C92E43"/>
    <w:rsid w:val="00C92F8A"/>
    <w:rsid w:val="00C9342F"/>
    <w:rsid w:val="00C93732"/>
    <w:rsid w:val="00C9400F"/>
    <w:rsid w:val="00C948AA"/>
    <w:rsid w:val="00C95328"/>
    <w:rsid w:val="00C95815"/>
    <w:rsid w:val="00C95C7B"/>
    <w:rsid w:val="00C96EB4"/>
    <w:rsid w:val="00C97909"/>
    <w:rsid w:val="00C97AED"/>
    <w:rsid w:val="00C97E8A"/>
    <w:rsid w:val="00CA019C"/>
    <w:rsid w:val="00CA0EBF"/>
    <w:rsid w:val="00CA125E"/>
    <w:rsid w:val="00CA131D"/>
    <w:rsid w:val="00CA23C3"/>
    <w:rsid w:val="00CA251E"/>
    <w:rsid w:val="00CA255A"/>
    <w:rsid w:val="00CA29A6"/>
    <w:rsid w:val="00CA2D8A"/>
    <w:rsid w:val="00CA34FD"/>
    <w:rsid w:val="00CA4378"/>
    <w:rsid w:val="00CA460E"/>
    <w:rsid w:val="00CA474A"/>
    <w:rsid w:val="00CA47CC"/>
    <w:rsid w:val="00CA4AD0"/>
    <w:rsid w:val="00CA6B39"/>
    <w:rsid w:val="00CA7BC4"/>
    <w:rsid w:val="00CA7CEE"/>
    <w:rsid w:val="00CB0DE6"/>
    <w:rsid w:val="00CB159F"/>
    <w:rsid w:val="00CB1FAB"/>
    <w:rsid w:val="00CB22B5"/>
    <w:rsid w:val="00CB4219"/>
    <w:rsid w:val="00CB46C4"/>
    <w:rsid w:val="00CB4E0F"/>
    <w:rsid w:val="00CB68FF"/>
    <w:rsid w:val="00CB77B2"/>
    <w:rsid w:val="00CB7D44"/>
    <w:rsid w:val="00CC01A5"/>
    <w:rsid w:val="00CC055D"/>
    <w:rsid w:val="00CC0D2B"/>
    <w:rsid w:val="00CC0D30"/>
    <w:rsid w:val="00CC128D"/>
    <w:rsid w:val="00CC1298"/>
    <w:rsid w:val="00CC226E"/>
    <w:rsid w:val="00CC2B12"/>
    <w:rsid w:val="00CC2C6D"/>
    <w:rsid w:val="00CC2D77"/>
    <w:rsid w:val="00CC3276"/>
    <w:rsid w:val="00CC3791"/>
    <w:rsid w:val="00CC3E28"/>
    <w:rsid w:val="00CC463A"/>
    <w:rsid w:val="00CC49F9"/>
    <w:rsid w:val="00CC5CC5"/>
    <w:rsid w:val="00CC5E7C"/>
    <w:rsid w:val="00CC5FEC"/>
    <w:rsid w:val="00CC643C"/>
    <w:rsid w:val="00CC6D5F"/>
    <w:rsid w:val="00CC70E7"/>
    <w:rsid w:val="00CC7563"/>
    <w:rsid w:val="00CD0737"/>
    <w:rsid w:val="00CD0AD8"/>
    <w:rsid w:val="00CD1A41"/>
    <w:rsid w:val="00CD1D03"/>
    <w:rsid w:val="00CD2398"/>
    <w:rsid w:val="00CD23E7"/>
    <w:rsid w:val="00CD2F8C"/>
    <w:rsid w:val="00CD3139"/>
    <w:rsid w:val="00CD3BAA"/>
    <w:rsid w:val="00CD3CD6"/>
    <w:rsid w:val="00CD434D"/>
    <w:rsid w:val="00CD4442"/>
    <w:rsid w:val="00CD461B"/>
    <w:rsid w:val="00CD4CDD"/>
    <w:rsid w:val="00CD505E"/>
    <w:rsid w:val="00CD5498"/>
    <w:rsid w:val="00CD6188"/>
    <w:rsid w:val="00CD67FC"/>
    <w:rsid w:val="00CD6C9C"/>
    <w:rsid w:val="00CD6D28"/>
    <w:rsid w:val="00CD78A3"/>
    <w:rsid w:val="00CE006F"/>
    <w:rsid w:val="00CE14D6"/>
    <w:rsid w:val="00CE168E"/>
    <w:rsid w:val="00CE1761"/>
    <w:rsid w:val="00CE1F00"/>
    <w:rsid w:val="00CE21F5"/>
    <w:rsid w:val="00CE2367"/>
    <w:rsid w:val="00CE274F"/>
    <w:rsid w:val="00CE3538"/>
    <w:rsid w:val="00CE3E37"/>
    <w:rsid w:val="00CE52C1"/>
    <w:rsid w:val="00CE68F1"/>
    <w:rsid w:val="00CE6C0B"/>
    <w:rsid w:val="00CE6CE1"/>
    <w:rsid w:val="00CE6D31"/>
    <w:rsid w:val="00CF04C5"/>
    <w:rsid w:val="00CF085B"/>
    <w:rsid w:val="00CF0B40"/>
    <w:rsid w:val="00CF0D5E"/>
    <w:rsid w:val="00CF0EBA"/>
    <w:rsid w:val="00CF0F5E"/>
    <w:rsid w:val="00CF14D4"/>
    <w:rsid w:val="00CF19DA"/>
    <w:rsid w:val="00CF257D"/>
    <w:rsid w:val="00CF2CD5"/>
    <w:rsid w:val="00CF3C1E"/>
    <w:rsid w:val="00CF3E5B"/>
    <w:rsid w:val="00CF4185"/>
    <w:rsid w:val="00CF5945"/>
    <w:rsid w:val="00CF6277"/>
    <w:rsid w:val="00CF6679"/>
    <w:rsid w:val="00CF733E"/>
    <w:rsid w:val="00CF77A1"/>
    <w:rsid w:val="00CF7B95"/>
    <w:rsid w:val="00D00103"/>
    <w:rsid w:val="00D0078D"/>
    <w:rsid w:val="00D00EDE"/>
    <w:rsid w:val="00D0161D"/>
    <w:rsid w:val="00D01636"/>
    <w:rsid w:val="00D0340B"/>
    <w:rsid w:val="00D03CDE"/>
    <w:rsid w:val="00D03F74"/>
    <w:rsid w:val="00D04B43"/>
    <w:rsid w:val="00D04DEA"/>
    <w:rsid w:val="00D04EDA"/>
    <w:rsid w:val="00D0507C"/>
    <w:rsid w:val="00D05815"/>
    <w:rsid w:val="00D06D9F"/>
    <w:rsid w:val="00D06EEE"/>
    <w:rsid w:val="00D0792C"/>
    <w:rsid w:val="00D10528"/>
    <w:rsid w:val="00D10C3D"/>
    <w:rsid w:val="00D12606"/>
    <w:rsid w:val="00D1318A"/>
    <w:rsid w:val="00D13417"/>
    <w:rsid w:val="00D134E1"/>
    <w:rsid w:val="00D13880"/>
    <w:rsid w:val="00D152C4"/>
    <w:rsid w:val="00D16C75"/>
    <w:rsid w:val="00D16E03"/>
    <w:rsid w:val="00D16F62"/>
    <w:rsid w:val="00D17786"/>
    <w:rsid w:val="00D2003F"/>
    <w:rsid w:val="00D203EA"/>
    <w:rsid w:val="00D20BF2"/>
    <w:rsid w:val="00D21B60"/>
    <w:rsid w:val="00D22FAA"/>
    <w:rsid w:val="00D24C64"/>
    <w:rsid w:val="00D250C7"/>
    <w:rsid w:val="00D251C3"/>
    <w:rsid w:val="00D25D94"/>
    <w:rsid w:val="00D26D3A"/>
    <w:rsid w:val="00D26DA9"/>
    <w:rsid w:val="00D270E8"/>
    <w:rsid w:val="00D27192"/>
    <w:rsid w:val="00D27779"/>
    <w:rsid w:val="00D277ED"/>
    <w:rsid w:val="00D279DC"/>
    <w:rsid w:val="00D301AA"/>
    <w:rsid w:val="00D3059A"/>
    <w:rsid w:val="00D320E2"/>
    <w:rsid w:val="00D321F2"/>
    <w:rsid w:val="00D3283A"/>
    <w:rsid w:val="00D32E0D"/>
    <w:rsid w:val="00D33313"/>
    <w:rsid w:val="00D33C15"/>
    <w:rsid w:val="00D33E2C"/>
    <w:rsid w:val="00D351C9"/>
    <w:rsid w:val="00D351D6"/>
    <w:rsid w:val="00D35B0F"/>
    <w:rsid w:val="00D363BB"/>
    <w:rsid w:val="00D364FB"/>
    <w:rsid w:val="00D369DA"/>
    <w:rsid w:val="00D36B88"/>
    <w:rsid w:val="00D36CDF"/>
    <w:rsid w:val="00D401EB"/>
    <w:rsid w:val="00D4125A"/>
    <w:rsid w:val="00D41A94"/>
    <w:rsid w:val="00D41FEB"/>
    <w:rsid w:val="00D42422"/>
    <w:rsid w:val="00D42611"/>
    <w:rsid w:val="00D42ED3"/>
    <w:rsid w:val="00D439A5"/>
    <w:rsid w:val="00D45D74"/>
    <w:rsid w:val="00D46218"/>
    <w:rsid w:val="00D4624C"/>
    <w:rsid w:val="00D464EC"/>
    <w:rsid w:val="00D46987"/>
    <w:rsid w:val="00D471E4"/>
    <w:rsid w:val="00D47A43"/>
    <w:rsid w:val="00D47A57"/>
    <w:rsid w:val="00D47B20"/>
    <w:rsid w:val="00D52C0B"/>
    <w:rsid w:val="00D543C3"/>
    <w:rsid w:val="00D54717"/>
    <w:rsid w:val="00D54FB0"/>
    <w:rsid w:val="00D5546F"/>
    <w:rsid w:val="00D5592C"/>
    <w:rsid w:val="00D56240"/>
    <w:rsid w:val="00D56470"/>
    <w:rsid w:val="00D564B3"/>
    <w:rsid w:val="00D5780A"/>
    <w:rsid w:val="00D60082"/>
    <w:rsid w:val="00D60B38"/>
    <w:rsid w:val="00D60C7F"/>
    <w:rsid w:val="00D60D26"/>
    <w:rsid w:val="00D60D6B"/>
    <w:rsid w:val="00D6118B"/>
    <w:rsid w:val="00D612B7"/>
    <w:rsid w:val="00D61C3E"/>
    <w:rsid w:val="00D61EE7"/>
    <w:rsid w:val="00D61FC5"/>
    <w:rsid w:val="00D62088"/>
    <w:rsid w:val="00D628D5"/>
    <w:rsid w:val="00D62A2C"/>
    <w:rsid w:val="00D62A31"/>
    <w:rsid w:val="00D62F45"/>
    <w:rsid w:val="00D6337B"/>
    <w:rsid w:val="00D63BED"/>
    <w:rsid w:val="00D63CF1"/>
    <w:rsid w:val="00D63F68"/>
    <w:rsid w:val="00D640AA"/>
    <w:rsid w:val="00D64952"/>
    <w:rsid w:val="00D64E3B"/>
    <w:rsid w:val="00D65023"/>
    <w:rsid w:val="00D6528A"/>
    <w:rsid w:val="00D65CDC"/>
    <w:rsid w:val="00D65FFD"/>
    <w:rsid w:val="00D66B60"/>
    <w:rsid w:val="00D67398"/>
    <w:rsid w:val="00D675C2"/>
    <w:rsid w:val="00D679CB"/>
    <w:rsid w:val="00D67B4D"/>
    <w:rsid w:val="00D67E33"/>
    <w:rsid w:val="00D7011A"/>
    <w:rsid w:val="00D70708"/>
    <w:rsid w:val="00D708F6"/>
    <w:rsid w:val="00D70BA2"/>
    <w:rsid w:val="00D7100B"/>
    <w:rsid w:val="00D711B5"/>
    <w:rsid w:val="00D71538"/>
    <w:rsid w:val="00D71977"/>
    <w:rsid w:val="00D71B40"/>
    <w:rsid w:val="00D724DC"/>
    <w:rsid w:val="00D72A94"/>
    <w:rsid w:val="00D740EE"/>
    <w:rsid w:val="00D742FF"/>
    <w:rsid w:val="00D746E3"/>
    <w:rsid w:val="00D75328"/>
    <w:rsid w:val="00D756A5"/>
    <w:rsid w:val="00D776B6"/>
    <w:rsid w:val="00D80150"/>
    <w:rsid w:val="00D80A12"/>
    <w:rsid w:val="00D80F35"/>
    <w:rsid w:val="00D81B79"/>
    <w:rsid w:val="00D81CE6"/>
    <w:rsid w:val="00D81D74"/>
    <w:rsid w:val="00D82B5E"/>
    <w:rsid w:val="00D83452"/>
    <w:rsid w:val="00D845FD"/>
    <w:rsid w:val="00D84722"/>
    <w:rsid w:val="00D84EE0"/>
    <w:rsid w:val="00D85CEB"/>
    <w:rsid w:val="00D86E7C"/>
    <w:rsid w:val="00D8743E"/>
    <w:rsid w:val="00D9010C"/>
    <w:rsid w:val="00D930B2"/>
    <w:rsid w:val="00D9378D"/>
    <w:rsid w:val="00D93E58"/>
    <w:rsid w:val="00D9457F"/>
    <w:rsid w:val="00D94665"/>
    <w:rsid w:val="00D9542C"/>
    <w:rsid w:val="00D96135"/>
    <w:rsid w:val="00D96689"/>
    <w:rsid w:val="00D97893"/>
    <w:rsid w:val="00DA006D"/>
    <w:rsid w:val="00DA0206"/>
    <w:rsid w:val="00DA0AD9"/>
    <w:rsid w:val="00DA12EC"/>
    <w:rsid w:val="00DA1F66"/>
    <w:rsid w:val="00DA2022"/>
    <w:rsid w:val="00DA2165"/>
    <w:rsid w:val="00DA232C"/>
    <w:rsid w:val="00DA2397"/>
    <w:rsid w:val="00DA2CFA"/>
    <w:rsid w:val="00DA3214"/>
    <w:rsid w:val="00DA3642"/>
    <w:rsid w:val="00DA4314"/>
    <w:rsid w:val="00DA4DDA"/>
    <w:rsid w:val="00DA55CC"/>
    <w:rsid w:val="00DA6CAB"/>
    <w:rsid w:val="00DA6D50"/>
    <w:rsid w:val="00DA7296"/>
    <w:rsid w:val="00DA7AD0"/>
    <w:rsid w:val="00DA7B22"/>
    <w:rsid w:val="00DB04C4"/>
    <w:rsid w:val="00DB07E5"/>
    <w:rsid w:val="00DB0AD3"/>
    <w:rsid w:val="00DB1651"/>
    <w:rsid w:val="00DB2208"/>
    <w:rsid w:val="00DB2A4A"/>
    <w:rsid w:val="00DB2EB4"/>
    <w:rsid w:val="00DB336D"/>
    <w:rsid w:val="00DB33F1"/>
    <w:rsid w:val="00DB3ABF"/>
    <w:rsid w:val="00DB4DA5"/>
    <w:rsid w:val="00DB5112"/>
    <w:rsid w:val="00DB5883"/>
    <w:rsid w:val="00DB5A7E"/>
    <w:rsid w:val="00DB6214"/>
    <w:rsid w:val="00DB7AB5"/>
    <w:rsid w:val="00DC017C"/>
    <w:rsid w:val="00DC079E"/>
    <w:rsid w:val="00DC0D57"/>
    <w:rsid w:val="00DC0EB3"/>
    <w:rsid w:val="00DC0EEC"/>
    <w:rsid w:val="00DC126D"/>
    <w:rsid w:val="00DC13D5"/>
    <w:rsid w:val="00DC1AD2"/>
    <w:rsid w:val="00DC230A"/>
    <w:rsid w:val="00DC2853"/>
    <w:rsid w:val="00DC3365"/>
    <w:rsid w:val="00DC392E"/>
    <w:rsid w:val="00DC3C89"/>
    <w:rsid w:val="00DC410B"/>
    <w:rsid w:val="00DC45E2"/>
    <w:rsid w:val="00DC4710"/>
    <w:rsid w:val="00DC5658"/>
    <w:rsid w:val="00DC61FB"/>
    <w:rsid w:val="00DC69C6"/>
    <w:rsid w:val="00DC7C7E"/>
    <w:rsid w:val="00DC7E26"/>
    <w:rsid w:val="00DD1154"/>
    <w:rsid w:val="00DD1350"/>
    <w:rsid w:val="00DD17A7"/>
    <w:rsid w:val="00DD1D7B"/>
    <w:rsid w:val="00DD20F3"/>
    <w:rsid w:val="00DD2469"/>
    <w:rsid w:val="00DD2F23"/>
    <w:rsid w:val="00DD32CD"/>
    <w:rsid w:val="00DD3A6E"/>
    <w:rsid w:val="00DD4AD2"/>
    <w:rsid w:val="00DD4E47"/>
    <w:rsid w:val="00DD6174"/>
    <w:rsid w:val="00DD65C1"/>
    <w:rsid w:val="00DD694E"/>
    <w:rsid w:val="00DD69E5"/>
    <w:rsid w:val="00DD7B80"/>
    <w:rsid w:val="00DD7DD3"/>
    <w:rsid w:val="00DE0A43"/>
    <w:rsid w:val="00DE0E54"/>
    <w:rsid w:val="00DE1464"/>
    <w:rsid w:val="00DE154B"/>
    <w:rsid w:val="00DE15B4"/>
    <w:rsid w:val="00DE1687"/>
    <w:rsid w:val="00DE177E"/>
    <w:rsid w:val="00DE34F4"/>
    <w:rsid w:val="00DE5090"/>
    <w:rsid w:val="00DE54A2"/>
    <w:rsid w:val="00DE5503"/>
    <w:rsid w:val="00DE5F38"/>
    <w:rsid w:val="00DE6821"/>
    <w:rsid w:val="00DE6934"/>
    <w:rsid w:val="00DE7E23"/>
    <w:rsid w:val="00DF0724"/>
    <w:rsid w:val="00DF0DE3"/>
    <w:rsid w:val="00DF1464"/>
    <w:rsid w:val="00DF1C40"/>
    <w:rsid w:val="00DF2D8F"/>
    <w:rsid w:val="00DF3383"/>
    <w:rsid w:val="00DF3399"/>
    <w:rsid w:val="00DF369B"/>
    <w:rsid w:val="00DF3A83"/>
    <w:rsid w:val="00DF3C2B"/>
    <w:rsid w:val="00DF3C5B"/>
    <w:rsid w:val="00DF3DAE"/>
    <w:rsid w:val="00DF4F78"/>
    <w:rsid w:val="00DF6DAD"/>
    <w:rsid w:val="00DF6F2E"/>
    <w:rsid w:val="00DF71FA"/>
    <w:rsid w:val="00DF7336"/>
    <w:rsid w:val="00DF73F4"/>
    <w:rsid w:val="00DF7FE0"/>
    <w:rsid w:val="00E023F0"/>
    <w:rsid w:val="00E0278B"/>
    <w:rsid w:val="00E02D19"/>
    <w:rsid w:val="00E0360B"/>
    <w:rsid w:val="00E03F5D"/>
    <w:rsid w:val="00E040CC"/>
    <w:rsid w:val="00E047AD"/>
    <w:rsid w:val="00E0521B"/>
    <w:rsid w:val="00E06D84"/>
    <w:rsid w:val="00E100C8"/>
    <w:rsid w:val="00E105E2"/>
    <w:rsid w:val="00E1134D"/>
    <w:rsid w:val="00E1146D"/>
    <w:rsid w:val="00E1151D"/>
    <w:rsid w:val="00E1161D"/>
    <w:rsid w:val="00E1201C"/>
    <w:rsid w:val="00E12065"/>
    <w:rsid w:val="00E12C39"/>
    <w:rsid w:val="00E12F1B"/>
    <w:rsid w:val="00E13EB0"/>
    <w:rsid w:val="00E143FA"/>
    <w:rsid w:val="00E15232"/>
    <w:rsid w:val="00E1568F"/>
    <w:rsid w:val="00E1586F"/>
    <w:rsid w:val="00E15DCE"/>
    <w:rsid w:val="00E162CD"/>
    <w:rsid w:val="00E16EF8"/>
    <w:rsid w:val="00E17256"/>
    <w:rsid w:val="00E179DE"/>
    <w:rsid w:val="00E201C4"/>
    <w:rsid w:val="00E20941"/>
    <w:rsid w:val="00E20DF4"/>
    <w:rsid w:val="00E21273"/>
    <w:rsid w:val="00E21FFC"/>
    <w:rsid w:val="00E2318B"/>
    <w:rsid w:val="00E2340D"/>
    <w:rsid w:val="00E23795"/>
    <w:rsid w:val="00E237B5"/>
    <w:rsid w:val="00E248CB"/>
    <w:rsid w:val="00E24AB0"/>
    <w:rsid w:val="00E24F3C"/>
    <w:rsid w:val="00E261EA"/>
    <w:rsid w:val="00E26296"/>
    <w:rsid w:val="00E2679B"/>
    <w:rsid w:val="00E26B43"/>
    <w:rsid w:val="00E2707C"/>
    <w:rsid w:val="00E30002"/>
    <w:rsid w:val="00E30430"/>
    <w:rsid w:val="00E309DA"/>
    <w:rsid w:val="00E30A76"/>
    <w:rsid w:val="00E31585"/>
    <w:rsid w:val="00E319E2"/>
    <w:rsid w:val="00E31D8D"/>
    <w:rsid w:val="00E329F0"/>
    <w:rsid w:val="00E32B56"/>
    <w:rsid w:val="00E32C55"/>
    <w:rsid w:val="00E34E1B"/>
    <w:rsid w:val="00E35082"/>
    <w:rsid w:val="00E358E8"/>
    <w:rsid w:val="00E35C5C"/>
    <w:rsid w:val="00E35F60"/>
    <w:rsid w:val="00E40766"/>
    <w:rsid w:val="00E407BD"/>
    <w:rsid w:val="00E41BB9"/>
    <w:rsid w:val="00E4384E"/>
    <w:rsid w:val="00E43A30"/>
    <w:rsid w:val="00E44924"/>
    <w:rsid w:val="00E44ACE"/>
    <w:rsid w:val="00E44B6A"/>
    <w:rsid w:val="00E4660D"/>
    <w:rsid w:val="00E47223"/>
    <w:rsid w:val="00E47265"/>
    <w:rsid w:val="00E50091"/>
    <w:rsid w:val="00E50121"/>
    <w:rsid w:val="00E50262"/>
    <w:rsid w:val="00E50732"/>
    <w:rsid w:val="00E512AD"/>
    <w:rsid w:val="00E51332"/>
    <w:rsid w:val="00E51616"/>
    <w:rsid w:val="00E5166A"/>
    <w:rsid w:val="00E52496"/>
    <w:rsid w:val="00E52DC4"/>
    <w:rsid w:val="00E530FB"/>
    <w:rsid w:val="00E5396A"/>
    <w:rsid w:val="00E5399F"/>
    <w:rsid w:val="00E53BFE"/>
    <w:rsid w:val="00E53E2C"/>
    <w:rsid w:val="00E5408F"/>
    <w:rsid w:val="00E54E97"/>
    <w:rsid w:val="00E55366"/>
    <w:rsid w:val="00E55F64"/>
    <w:rsid w:val="00E56064"/>
    <w:rsid w:val="00E5705E"/>
    <w:rsid w:val="00E574FA"/>
    <w:rsid w:val="00E605C9"/>
    <w:rsid w:val="00E61005"/>
    <w:rsid w:val="00E61295"/>
    <w:rsid w:val="00E6177D"/>
    <w:rsid w:val="00E62095"/>
    <w:rsid w:val="00E62441"/>
    <w:rsid w:val="00E62766"/>
    <w:rsid w:val="00E6347E"/>
    <w:rsid w:val="00E63534"/>
    <w:rsid w:val="00E6353A"/>
    <w:rsid w:val="00E63F30"/>
    <w:rsid w:val="00E64C1E"/>
    <w:rsid w:val="00E64D8E"/>
    <w:rsid w:val="00E64E76"/>
    <w:rsid w:val="00E6533A"/>
    <w:rsid w:val="00E661F5"/>
    <w:rsid w:val="00E667D7"/>
    <w:rsid w:val="00E66C3B"/>
    <w:rsid w:val="00E676A0"/>
    <w:rsid w:val="00E676D7"/>
    <w:rsid w:val="00E67D6E"/>
    <w:rsid w:val="00E70452"/>
    <w:rsid w:val="00E70529"/>
    <w:rsid w:val="00E713E7"/>
    <w:rsid w:val="00E718D6"/>
    <w:rsid w:val="00E71D71"/>
    <w:rsid w:val="00E7249D"/>
    <w:rsid w:val="00E72E5F"/>
    <w:rsid w:val="00E74CA4"/>
    <w:rsid w:val="00E74D20"/>
    <w:rsid w:val="00E754EB"/>
    <w:rsid w:val="00E75663"/>
    <w:rsid w:val="00E75C79"/>
    <w:rsid w:val="00E80A62"/>
    <w:rsid w:val="00E81337"/>
    <w:rsid w:val="00E81BBB"/>
    <w:rsid w:val="00E826C4"/>
    <w:rsid w:val="00E82FDD"/>
    <w:rsid w:val="00E830BD"/>
    <w:rsid w:val="00E83218"/>
    <w:rsid w:val="00E83296"/>
    <w:rsid w:val="00E8347D"/>
    <w:rsid w:val="00E83A4A"/>
    <w:rsid w:val="00E84D55"/>
    <w:rsid w:val="00E855FD"/>
    <w:rsid w:val="00E85B08"/>
    <w:rsid w:val="00E85C3F"/>
    <w:rsid w:val="00E86DF5"/>
    <w:rsid w:val="00E86EBA"/>
    <w:rsid w:val="00E87CDE"/>
    <w:rsid w:val="00E87FE7"/>
    <w:rsid w:val="00E90741"/>
    <w:rsid w:val="00E92031"/>
    <w:rsid w:val="00E92833"/>
    <w:rsid w:val="00E93107"/>
    <w:rsid w:val="00E93533"/>
    <w:rsid w:val="00E93789"/>
    <w:rsid w:val="00E93E78"/>
    <w:rsid w:val="00E946BD"/>
    <w:rsid w:val="00E94A51"/>
    <w:rsid w:val="00E94AD2"/>
    <w:rsid w:val="00E9536A"/>
    <w:rsid w:val="00E953E2"/>
    <w:rsid w:val="00E963A4"/>
    <w:rsid w:val="00E96EA4"/>
    <w:rsid w:val="00E97AA1"/>
    <w:rsid w:val="00E97CF8"/>
    <w:rsid w:val="00E97D2B"/>
    <w:rsid w:val="00EA052C"/>
    <w:rsid w:val="00EA0755"/>
    <w:rsid w:val="00EA0915"/>
    <w:rsid w:val="00EA1048"/>
    <w:rsid w:val="00EA1C9F"/>
    <w:rsid w:val="00EA2556"/>
    <w:rsid w:val="00EA25EA"/>
    <w:rsid w:val="00EA2A65"/>
    <w:rsid w:val="00EA3202"/>
    <w:rsid w:val="00EA3268"/>
    <w:rsid w:val="00EA3864"/>
    <w:rsid w:val="00EA60EE"/>
    <w:rsid w:val="00EA6628"/>
    <w:rsid w:val="00EA7FD3"/>
    <w:rsid w:val="00EB000D"/>
    <w:rsid w:val="00EB0692"/>
    <w:rsid w:val="00EB0C2C"/>
    <w:rsid w:val="00EB0E1E"/>
    <w:rsid w:val="00EB10E1"/>
    <w:rsid w:val="00EB1813"/>
    <w:rsid w:val="00EB18D6"/>
    <w:rsid w:val="00EB1C3C"/>
    <w:rsid w:val="00EB2018"/>
    <w:rsid w:val="00EB2354"/>
    <w:rsid w:val="00EB283C"/>
    <w:rsid w:val="00EB2992"/>
    <w:rsid w:val="00EB2DAE"/>
    <w:rsid w:val="00EB30DE"/>
    <w:rsid w:val="00EB34C8"/>
    <w:rsid w:val="00EB3615"/>
    <w:rsid w:val="00EB39BE"/>
    <w:rsid w:val="00EB47B5"/>
    <w:rsid w:val="00EB5119"/>
    <w:rsid w:val="00EB584B"/>
    <w:rsid w:val="00EB59CF"/>
    <w:rsid w:val="00EB5B24"/>
    <w:rsid w:val="00EB61DA"/>
    <w:rsid w:val="00EB731D"/>
    <w:rsid w:val="00EB743C"/>
    <w:rsid w:val="00EB7C6F"/>
    <w:rsid w:val="00EC07A2"/>
    <w:rsid w:val="00EC103C"/>
    <w:rsid w:val="00EC1043"/>
    <w:rsid w:val="00EC13A3"/>
    <w:rsid w:val="00EC1D0D"/>
    <w:rsid w:val="00EC3EFB"/>
    <w:rsid w:val="00EC435A"/>
    <w:rsid w:val="00EC4421"/>
    <w:rsid w:val="00EC4A6E"/>
    <w:rsid w:val="00EC5B22"/>
    <w:rsid w:val="00EC64E0"/>
    <w:rsid w:val="00EC653E"/>
    <w:rsid w:val="00EC721D"/>
    <w:rsid w:val="00EC74D4"/>
    <w:rsid w:val="00EC7675"/>
    <w:rsid w:val="00EC7B3F"/>
    <w:rsid w:val="00EC7DDB"/>
    <w:rsid w:val="00ED108F"/>
    <w:rsid w:val="00ED2E45"/>
    <w:rsid w:val="00ED3068"/>
    <w:rsid w:val="00ED349A"/>
    <w:rsid w:val="00ED37EC"/>
    <w:rsid w:val="00ED4C92"/>
    <w:rsid w:val="00ED514F"/>
    <w:rsid w:val="00ED619F"/>
    <w:rsid w:val="00ED6FAA"/>
    <w:rsid w:val="00ED7444"/>
    <w:rsid w:val="00ED760A"/>
    <w:rsid w:val="00ED7F13"/>
    <w:rsid w:val="00EE0419"/>
    <w:rsid w:val="00EE0763"/>
    <w:rsid w:val="00EE1354"/>
    <w:rsid w:val="00EE187F"/>
    <w:rsid w:val="00EE1D87"/>
    <w:rsid w:val="00EE2173"/>
    <w:rsid w:val="00EE29C8"/>
    <w:rsid w:val="00EE3593"/>
    <w:rsid w:val="00EE382D"/>
    <w:rsid w:val="00EE4D5A"/>
    <w:rsid w:val="00EE4D8C"/>
    <w:rsid w:val="00EE5202"/>
    <w:rsid w:val="00EE569F"/>
    <w:rsid w:val="00EE6106"/>
    <w:rsid w:val="00EE6219"/>
    <w:rsid w:val="00EE6F4E"/>
    <w:rsid w:val="00EE77A7"/>
    <w:rsid w:val="00EE794C"/>
    <w:rsid w:val="00EF13EE"/>
    <w:rsid w:val="00EF1813"/>
    <w:rsid w:val="00EF1DFC"/>
    <w:rsid w:val="00EF233B"/>
    <w:rsid w:val="00EF2A26"/>
    <w:rsid w:val="00EF2CD0"/>
    <w:rsid w:val="00EF2D6F"/>
    <w:rsid w:val="00EF30C0"/>
    <w:rsid w:val="00EF388C"/>
    <w:rsid w:val="00EF472A"/>
    <w:rsid w:val="00EF5006"/>
    <w:rsid w:val="00EF611A"/>
    <w:rsid w:val="00EF6377"/>
    <w:rsid w:val="00EF7356"/>
    <w:rsid w:val="00EF79A4"/>
    <w:rsid w:val="00EF7AD4"/>
    <w:rsid w:val="00F00885"/>
    <w:rsid w:val="00F0134A"/>
    <w:rsid w:val="00F0218E"/>
    <w:rsid w:val="00F0253E"/>
    <w:rsid w:val="00F030B3"/>
    <w:rsid w:val="00F0367D"/>
    <w:rsid w:val="00F044D3"/>
    <w:rsid w:val="00F07922"/>
    <w:rsid w:val="00F07DC8"/>
    <w:rsid w:val="00F1043F"/>
    <w:rsid w:val="00F127DB"/>
    <w:rsid w:val="00F13860"/>
    <w:rsid w:val="00F14692"/>
    <w:rsid w:val="00F14704"/>
    <w:rsid w:val="00F14A48"/>
    <w:rsid w:val="00F14C77"/>
    <w:rsid w:val="00F14D48"/>
    <w:rsid w:val="00F14DBA"/>
    <w:rsid w:val="00F15186"/>
    <w:rsid w:val="00F15434"/>
    <w:rsid w:val="00F158FF"/>
    <w:rsid w:val="00F15CB9"/>
    <w:rsid w:val="00F16692"/>
    <w:rsid w:val="00F1699D"/>
    <w:rsid w:val="00F17026"/>
    <w:rsid w:val="00F17D2C"/>
    <w:rsid w:val="00F2007D"/>
    <w:rsid w:val="00F20A58"/>
    <w:rsid w:val="00F217AE"/>
    <w:rsid w:val="00F21B67"/>
    <w:rsid w:val="00F21F7A"/>
    <w:rsid w:val="00F22123"/>
    <w:rsid w:val="00F228D1"/>
    <w:rsid w:val="00F241BE"/>
    <w:rsid w:val="00F247E5"/>
    <w:rsid w:val="00F2497F"/>
    <w:rsid w:val="00F2578A"/>
    <w:rsid w:val="00F25BD3"/>
    <w:rsid w:val="00F27480"/>
    <w:rsid w:val="00F278D1"/>
    <w:rsid w:val="00F2793E"/>
    <w:rsid w:val="00F27E29"/>
    <w:rsid w:val="00F3007A"/>
    <w:rsid w:val="00F30598"/>
    <w:rsid w:val="00F3065A"/>
    <w:rsid w:val="00F315B7"/>
    <w:rsid w:val="00F316D3"/>
    <w:rsid w:val="00F31E20"/>
    <w:rsid w:val="00F31E29"/>
    <w:rsid w:val="00F328D5"/>
    <w:rsid w:val="00F32EE2"/>
    <w:rsid w:val="00F330C5"/>
    <w:rsid w:val="00F3370B"/>
    <w:rsid w:val="00F33F7E"/>
    <w:rsid w:val="00F34021"/>
    <w:rsid w:val="00F34194"/>
    <w:rsid w:val="00F344EE"/>
    <w:rsid w:val="00F35B70"/>
    <w:rsid w:val="00F35F0D"/>
    <w:rsid w:val="00F35FEB"/>
    <w:rsid w:val="00F36A2C"/>
    <w:rsid w:val="00F373BB"/>
    <w:rsid w:val="00F375C1"/>
    <w:rsid w:val="00F40536"/>
    <w:rsid w:val="00F409CC"/>
    <w:rsid w:val="00F41048"/>
    <w:rsid w:val="00F4194E"/>
    <w:rsid w:val="00F41D33"/>
    <w:rsid w:val="00F420B8"/>
    <w:rsid w:val="00F42630"/>
    <w:rsid w:val="00F4361C"/>
    <w:rsid w:val="00F444E4"/>
    <w:rsid w:val="00F44722"/>
    <w:rsid w:val="00F44A34"/>
    <w:rsid w:val="00F44C36"/>
    <w:rsid w:val="00F4668D"/>
    <w:rsid w:val="00F469E8"/>
    <w:rsid w:val="00F46E1F"/>
    <w:rsid w:val="00F47D08"/>
    <w:rsid w:val="00F50184"/>
    <w:rsid w:val="00F50AA7"/>
    <w:rsid w:val="00F50BF5"/>
    <w:rsid w:val="00F5133E"/>
    <w:rsid w:val="00F513EF"/>
    <w:rsid w:val="00F51A62"/>
    <w:rsid w:val="00F51F96"/>
    <w:rsid w:val="00F520EF"/>
    <w:rsid w:val="00F52BB3"/>
    <w:rsid w:val="00F53458"/>
    <w:rsid w:val="00F53AD8"/>
    <w:rsid w:val="00F54C08"/>
    <w:rsid w:val="00F54C3D"/>
    <w:rsid w:val="00F54F50"/>
    <w:rsid w:val="00F55616"/>
    <w:rsid w:val="00F55B72"/>
    <w:rsid w:val="00F55FB2"/>
    <w:rsid w:val="00F5632D"/>
    <w:rsid w:val="00F56432"/>
    <w:rsid w:val="00F565B2"/>
    <w:rsid w:val="00F56A40"/>
    <w:rsid w:val="00F6022D"/>
    <w:rsid w:val="00F60285"/>
    <w:rsid w:val="00F60D6B"/>
    <w:rsid w:val="00F611DA"/>
    <w:rsid w:val="00F61464"/>
    <w:rsid w:val="00F62851"/>
    <w:rsid w:val="00F6290B"/>
    <w:rsid w:val="00F6330E"/>
    <w:rsid w:val="00F638CB"/>
    <w:rsid w:val="00F63D2C"/>
    <w:rsid w:val="00F64B5E"/>
    <w:rsid w:val="00F6512D"/>
    <w:rsid w:val="00F65241"/>
    <w:rsid w:val="00F6527F"/>
    <w:rsid w:val="00F65C33"/>
    <w:rsid w:val="00F6623B"/>
    <w:rsid w:val="00F6634C"/>
    <w:rsid w:val="00F665F1"/>
    <w:rsid w:val="00F67E88"/>
    <w:rsid w:val="00F7044F"/>
    <w:rsid w:val="00F707C4"/>
    <w:rsid w:val="00F70A54"/>
    <w:rsid w:val="00F71583"/>
    <w:rsid w:val="00F71AE0"/>
    <w:rsid w:val="00F7205C"/>
    <w:rsid w:val="00F72068"/>
    <w:rsid w:val="00F720E7"/>
    <w:rsid w:val="00F72748"/>
    <w:rsid w:val="00F732A5"/>
    <w:rsid w:val="00F732AD"/>
    <w:rsid w:val="00F735EC"/>
    <w:rsid w:val="00F73FDC"/>
    <w:rsid w:val="00F746CA"/>
    <w:rsid w:val="00F74798"/>
    <w:rsid w:val="00F7527C"/>
    <w:rsid w:val="00F75306"/>
    <w:rsid w:val="00F759DF"/>
    <w:rsid w:val="00F75A6C"/>
    <w:rsid w:val="00F76CB5"/>
    <w:rsid w:val="00F7700D"/>
    <w:rsid w:val="00F800D6"/>
    <w:rsid w:val="00F806D1"/>
    <w:rsid w:val="00F8093D"/>
    <w:rsid w:val="00F80A0D"/>
    <w:rsid w:val="00F80CBF"/>
    <w:rsid w:val="00F80FB9"/>
    <w:rsid w:val="00F8199F"/>
    <w:rsid w:val="00F81BFA"/>
    <w:rsid w:val="00F82201"/>
    <w:rsid w:val="00F82E8E"/>
    <w:rsid w:val="00F83770"/>
    <w:rsid w:val="00F84406"/>
    <w:rsid w:val="00F84B57"/>
    <w:rsid w:val="00F86DEC"/>
    <w:rsid w:val="00F870D3"/>
    <w:rsid w:val="00F87B31"/>
    <w:rsid w:val="00F87CD1"/>
    <w:rsid w:val="00F91935"/>
    <w:rsid w:val="00F91B84"/>
    <w:rsid w:val="00F91BFF"/>
    <w:rsid w:val="00F91C5C"/>
    <w:rsid w:val="00F922B6"/>
    <w:rsid w:val="00F92DCA"/>
    <w:rsid w:val="00F93156"/>
    <w:rsid w:val="00F937D1"/>
    <w:rsid w:val="00F93FBF"/>
    <w:rsid w:val="00F965B4"/>
    <w:rsid w:val="00F9724B"/>
    <w:rsid w:val="00F97492"/>
    <w:rsid w:val="00FA054B"/>
    <w:rsid w:val="00FA0941"/>
    <w:rsid w:val="00FA09A5"/>
    <w:rsid w:val="00FA0ECA"/>
    <w:rsid w:val="00FA0F9A"/>
    <w:rsid w:val="00FA3012"/>
    <w:rsid w:val="00FA338D"/>
    <w:rsid w:val="00FA40C0"/>
    <w:rsid w:val="00FA4F83"/>
    <w:rsid w:val="00FA4FA6"/>
    <w:rsid w:val="00FA5875"/>
    <w:rsid w:val="00FA6590"/>
    <w:rsid w:val="00FA6E57"/>
    <w:rsid w:val="00FA6F68"/>
    <w:rsid w:val="00FA72DA"/>
    <w:rsid w:val="00FA78FF"/>
    <w:rsid w:val="00FA7B71"/>
    <w:rsid w:val="00FB056F"/>
    <w:rsid w:val="00FB08FC"/>
    <w:rsid w:val="00FB1A5F"/>
    <w:rsid w:val="00FB2BCA"/>
    <w:rsid w:val="00FB2C6C"/>
    <w:rsid w:val="00FB2D15"/>
    <w:rsid w:val="00FB3612"/>
    <w:rsid w:val="00FB3876"/>
    <w:rsid w:val="00FB404F"/>
    <w:rsid w:val="00FB4542"/>
    <w:rsid w:val="00FB4940"/>
    <w:rsid w:val="00FB4998"/>
    <w:rsid w:val="00FB7108"/>
    <w:rsid w:val="00FC0FD8"/>
    <w:rsid w:val="00FC1321"/>
    <w:rsid w:val="00FC1394"/>
    <w:rsid w:val="00FC1589"/>
    <w:rsid w:val="00FC18D4"/>
    <w:rsid w:val="00FC1A53"/>
    <w:rsid w:val="00FC1AC6"/>
    <w:rsid w:val="00FC29D4"/>
    <w:rsid w:val="00FC2E76"/>
    <w:rsid w:val="00FC31AC"/>
    <w:rsid w:val="00FC4546"/>
    <w:rsid w:val="00FC45FB"/>
    <w:rsid w:val="00FC4753"/>
    <w:rsid w:val="00FC59D8"/>
    <w:rsid w:val="00FC5EE7"/>
    <w:rsid w:val="00FC667D"/>
    <w:rsid w:val="00FC6D97"/>
    <w:rsid w:val="00FC71E8"/>
    <w:rsid w:val="00FC7610"/>
    <w:rsid w:val="00FC7A8A"/>
    <w:rsid w:val="00FD02A1"/>
    <w:rsid w:val="00FD0B09"/>
    <w:rsid w:val="00FD1238"/>
    <w:rsid w:val="00FD1D90"/>
    <w:rsid w:val="00FD2425"/>
    <w:rsid w:val="00FD2F2C"/>
    <w:rsid w:val="00FD2FD1"/>
    <w:rsid w:val="00FD3E05"/>
    <w:rsid w:val="00FD4207"/>
    <w:rsid w:val="00FD5CFB"/>
    <w:rsid w:val="00FD5E0E"/>
    <w:rsid w:val="00FD6130"/>
    <w:rsid w:val="00FD6939"/>
    <w:rsid w:val="00FD69B0"/>
    <w:rsid w:val="00FD6F8A"/>
    <w:rsid w:val="00FD7CA4"/>
    <w:rsid w:val="00FD7F99"/>
    <w:rsid w:val="00FE0B90"/>
    <w:rsid w:val="00FE15B3"/>
    <w:rsid w:val="00FE1F9C"/>
    <w:rsid w:val="00FE24B9"/>
    <w:rsid w:val="00FE375A"/>
    <w:rsid w:val="00FE4183"/>
    <w:rsid w:val="00FE4404"/>
    <w:rsid w:val="00FE4630"/>
    <w:rsid w:val="00FE6042"/>
    <w:rsid w:val="00FE624F"/>
    <w:rsid w:val="00FE6C28"/>
    <w:rsid w:val="00FE6E6B"/>
    <w:rsid w:val="00FE77EE"/>
    <w:rsid w:val="00FE7806"/>
    <w:rsid w:val="00FE7B76"/>
    <w:rsid w:val="00FF061D"/>
    <w:rsid w:val="00FF18EE"/>
    <w:rsid w:val="00FF3889"/>
    <w:rsid w:val="00FF38A6"/>
    <w:rsid w:val="00FF3C12"/>
    <w:rsid w:val="00FF3C1B"/>
    <w:rsid w:val="00FF3E01"/>
    <w:rsid w:val="00FF4456"/>
    <w:rsid w:val="00FF4904"/>
    <w:rsid w:val="00FF4ABD"/>
    <w:rsid w:val="00FF4D3E"/>
    <w:rsid w:val="00FF4F95"/>
    <w:rsid w:val="00FF5A8E"/>
    <w:rsid w:val="00FF68B3"/>
    <w:rsid w:val="00FF6B54"/>
    <w:rsid w:val="00FF6FE9"/>
    <w:rsid w:val="00FFEE4A"/>
    <w:rsid w:val="0105C8D8"/>
    <w:rsid w:val="012AF9BB"/>
    <w:rsid w:val="01C71BF3"/>
    <w:rsid w:val="020C04E3"/>
    <w:rsid w:val="0223574F"/>
    <w:rsid w:val="022DFBA2"/>
    <w:rsid w:val="023DE154"/>
    <w:rsid w:val="023DE187"/>
    <w:rsid w:val="0258E75A"/>
    <w:rsid w:val="02764A71"/>
    <w:rsid w:val="028F64D3"/>
    <w:rsid w:val="02953495"/>
    <w:rsid w:val="02A00B96"/>
    <w:rsid w:val="02B4E708"/>
    <w:rsid w:val="02BD69AF"/>
    <w:rsid w:val="02F21112"/>
    <w:rsid w:val="031D471A"/>
    <w:rsid w:val="0329B0D3"/>
    <w:rsid w:val="036056A1"/>
    <w:rsid w:val="03E90651"/>
    <w:rsid w:val="04E3E764"/>
    <w:rsid w:val="058D7238"/>
    <w:rsid w:val="0590C854"/>
    <w:rsid w:val="061A38CF"/>
    <w:rsid w:val="062BC2BD"/>
    <w:rsid w:val="06852DC5"/>
    <w:rsid w:val="06E6FA19"/>
    <w:rsid w:val="06FE308E"/>
    <w:rsid w:val="0747DC32"/>
    <w:rsid w:val="07AB476A"/>
    <w:rsid w:val="07C8C5C0"/>
    <w:rsid w:val="07C9178D"/>
    <w:rsid w:val="07F94B9F"/>
    <w:rsid w:val="07FBE9D3"/>
    <w:rsid w:val="08116E78"/>
    <w:rsid w:val="082798A2"/>
    <w:rsid w:val="08A82BB2"/>
    <w:rsid w:val="09004D6A"/>
    <w:rsid w:val="094B029A"/>
    <w:rsid w:val="094F60BF"/>
    <w:rsid w:val="09858D4A"/>
    <w:rsid w:val="0986287E"/>
    <w:rsid w:val="09B8CD9B"/>
    <w:rsid w:val="0A2CD0A6"/>
    <w:rsid w:val="0A976693"/>
    <w:rsid w:val="0A99EBD7"/>
    <w:rsid w:val="0AE96070"/>
    <w:rsid w:val="0AF13204"/>
    <w:rsid w:val="0B6E860E"/>
    <w:rsid w:val="0B75115B"/>
    <w:rsid w:val="0BD55273"/>
    <w:rsid w:val="0C13A9F5"/>
    <w:rsid w:val="0C4D673D"/>
    <w:rsid w:val="0C6358F5"/>
    <w:rsid w:val="0C8E6B99"/>
    <w:rsid w:val="0D32441F"/>
    <w:rsid w:val="0DED2BD5"/>
    <w:rsid w:val="0DF1C93F"/>
    <w:rsid w:val="0E741BF8"/>
    <w:rsid w:val="0E748271"/>
    <w:rsid w:val="0E7F27A5"/>
    <w:rsid w:val="0EA192CB"/>
    <w:rsid w:val="0EB22F9A"/>
    <w:rsid w:val="0EFF191B"/>
    <w:rsid w:val="0EFFE387"/>
    <w:rsid w:val="0F15D00B"/>
    <w:rsid w:val="0F8BEA57"/>
    <w:rsid w:val="1015FCCF"/>
    <w:rsid w:val="1017D840"/>
    <w:rsid w:val="103653FA"/>
    <w:rsid w:val="10602DEF"/>
    <w:rsid w:val="1083D7E7"/>
    <w:rsid w:val="10865987"/>
    <w:rsid w:val="108B53FA"/>
    <w:rsid w:val="10B1DB80"/>
    <w:rsid w:val="10FBF1AE"/>
    <w:rsid w:val="10FCAB6E"/>
    <w:rsid w:val="1143FF2C"/>
    <w:rsid w:val="11605D95"/>
    <w:rsid w:val="11C21F37"/>
    <w:rsid w:val="11E34C14"/>
    <w:rsid w:val="1201C870"/>
    <w:rsid w:val="1259DC07"/>
    <w:rsid w:val="127B4B95"/>
    <w:rsid w:val="1282C8E3"/>
    <w:rsid w:val="129D86A7"/>
    <w:rsid w:val="12CFEF77"/>
    <w:rsid w:val="12F4A272"/>
    <w:rsid w:val="130CCA1F"/>
    <w:rsid w:val="13F5EADE"/>
    <w:rsid w:val="142D16F2"/>
    <w:rsid w:val="1435A1DB"/>
    <w:rsid w:val="14619BF0"/>
    <w:rsid w:val="147BA304"/>
    <w:rsid w:val="148751B2"/>
    <w:rsid w:val="14A202F1"/>
    <w:rsid w:val="14FDA3E5"/>
    <w:rsid w:val="15349B2D"/>
    <w:rsid w:val="1586CE78"/>
    <w:rsid w:val="15B0AD4E"/>
    <w:rsid w:val="15C7C603"/>
    <w:rsid w:val="160FB692"/>
    <w:rsid w:val="1610AC1F"/>
    <w:rsid w:val="16153F51"/>
    <w:rsid w:val="166C46EA"/>
    <w:rsid w:val="169D2C1B"/>
    <w:rsid w:val="16DFB8CA"/>
    <w:rsid w:val="16E9C331"/>
    <w:rsid w:val="16F101C1"/>
    <w:rsid w:val="170FD0A9"/>
    <w:rsid w:val="171DD885"/>
    <w:rsid w:val="1763A446"/>
    <w:rsid w:val="177D5A16"/>
    <w:rsid w:val="178D411E"/>
    <w:rsid w:val="17A2C6D3"/>
    <w:rsid w:val="17D0C379"/>
    <w:rsid w:val="17FEFBD0"/>
    <w:rsid w:val="18596345"/>
    <w:rsid w:val="1899706D"/>
    <w:rsid w:val="194052B9"/>
    <w:rsid w:val="19E84CE7"/>
    <w:rsid w:val="19F792A5"/>
    <w:rsid w:val="19FC8E3C"/>
    <w:rsid w:val="1ACD6447"/>
    <w:rsid w:val="1B61561F"/>
    <w:rsid w:val="1B89CE6D"/>
    <w:rsid w:val="1BC8EB45"/>
    <w:rsid w:val="1BDDFE88"/>
    <w:rsid w:val="1BE1565F"/>
    <w:rsid w:val="1BE439A6"/>
    <w:rsid w:val="1BE7D41B"/>
    <w:rsid w:val="1C1A08F1"/>
    <w:rsid w:val="1C2A3EAD"/>
    <w:rsid w:val="1C52F474"/>
    <w:rsid w:val="1C7BF89F"/>
    <w:rsid w:val="1CA9CA66"/>
    <w:rsid w:val="1CD3C384"/>
    <w:rsid w:val="1CE4B257"/>
    <w:rsid w:val="1D30002B"/>
    <w:rsid w:val="1D5BD74D"/>
    <w:rsid w:val="1D6D41B3"/>
    <w:rsid w:val="1DC3284E"/>
    <w:rsid w:val="1E0A32B8"/>
    <w:rsid w:val="1E7DDA77"/>
    <w:rsid w:val="1E9E3A6C"/>
    <w:rsid w:val="1ED279A6"/>
    <w:rsid w:val="1EE9DF30"/>
    <w:rsid w:val="1F0157A1"/>
    <w:rsid w:val="1F0474F3"/>
    <w:rsid w:val="1F04CEE3"/>
    <w:rsid w:val="1F69881E"/>
    <w:rsid w:val="1F7B8ABE"/>
    <w:rsid w:val="1FCBBDCD"/>
    <w:rsid w:val="1FE242FD"/>
    <w:rsid w:val="1FEA1BBA"/>
    <w:rsid w:val="20273B82"/>
    <w:rsid w:val="203B39FD"/>
    <w:rsid w:val="205C4014"/>
    <w:rsid w:val="206D1665"/>
    <w:rsid w:val="206D72B3"/>
    <w:rsid w:val="207E63D9"/>
    <w:rsid w:val="20A04554"/>
    <w:rsid w:val="21000089"/>
    <w:rsid w:val="2135C7BA"/>
    <w:rsid w:val="215050EE"/>
    <w:rsid w:val="21825526"/>
    <w:rsid w:val="2182E206"/>
    <w:rsid w:val="21EAB77A"/>
    <w:rsid w:val="220DAEDF"/>
    <w:rsid w:val="221AD17C"/>
    <w:rsid w:val="223B8106"/>
    <w:rsid w:val="224EEDD7"/>
    <w:rsid w:val="225675C9"/>
    <w:rsid w:val="229E54FD"/>
    <w:rsid w:val="23416F98"/>
    <w:rsid w:val="23CE87F3"/>
    <w:rsid w:val="240BA960"/>
    <w:rsid w:val="2444C237"/>
    <w:rsid w:val="247CB6B7"/>
    <w:rsid w:val="24EBB049"/>
    <w:rsid w:val="2515961D"/>
    <w:rsid w:val="251B4327"/>
    <w:rsid w:val="253E7136"/>
    <w:rsid w:val="25A665FF"/>
    <w:rsid w:val="25CEC80F"/>
    <w:rsid w:val="26079487"/>
    <w:rsid w:val="2626050D"/>
    <w:rsid w:val="2702139F"/>
    <w:rsid w:val="27762DA7"/>
    <w:rsid w:val="277D2A01"/>
    <w:rsid w:val="2783EF68"/>
    <w:rsid w:val="284B91CE"/>
    <w:rsid w:val="28570D9C"/>
    <w:rsid w:val="2884A423"/>
    <w:rsid w:val="2892A9B9"/>
    <w:rsid w:val="289F68E8"/>
    <w:rsid w:val="28AD47D3"/>
    <w:rsid w:val="28C5D646"/>
    <w:rsid w:val="28CFE677"/>
    <w:rsid w:val="2934EBA0"/>
    <w:rsid w:val="2963CD52"/>
    <w:rsid w:val="298BBD48"/>
    <w:rsid w:val="29CD061D"/>
    <w:rsid w:val="29F7E28F"/>
    <w:rsid w:val="2A17D6DD"/>
    <w:rsid w:val="2A2D1E0D"/>
    <w:rsid w:val="2A32A75A"/>
    <w:rsid w:val="2A3B4FB7"/>
    <w:rsid w:val="2AB490A7"/>
    <w:rsid w:val="2AC1DD4D"/>
    <w:rsid w:val="2B077443"/>
    <w:rsid w:val="2B2BDA5D"/>
    <w:rsid w:val="2B9932C5"/>
    <w:rsid w:val="2C0E7129"/>
    <w:rsid w:val="2C11BD20"/>
    <w:rsid w:val="2CA2E3F7"/>
    <w:rsid w:val="2CDB21CB"/>
    <w:rsid w:val="2CE14EF5"/>
    <w:rsid w:val="2D0CE946"/>
    <w:rsid w:val="2D499678"/>
    <w:rsid w:val="2D53551E"/>
    <w:rsid w:val="2EA2B279"/>
    <w:rsid w:val="2EC84AAD"/>
    <w:rsid w:val="2EED8601"/>
    <w:rsid w:val="2F04B9F7"/>
    <w:rsid w:val="2F1F4443"/>
    <w:rsid w:val="2FC3E366"/>
    <w:rsid w:val="305CB2AC"/>
    <w:rsid w:val="305E6FA8"/>
    <w:rsid w:val="30FA02D9"/>
    <w:rsid w:val="31775970"/>
    <w:rsid w:val="3188540B"/>
    <w:rsid w:val="3198ACDE"/>
    <w:rsid w:val="31A1CE84"/>
    <w:rsid w:val="31BC3B59"/>
    <w:rsid w:val="31C72608"/>
    <w:rsid w:val="31E2A247"/>
    <w:rsid w:val="320F032E"/>
    <w:rsid w:val="3241D56F"/>
    <w:rsid w:val="3275636C"/>
    <w:rsid w:val="32CE8311"/>
    <w:rsid w:val="33295541"/>
    <w:rsid w:val="33A8BC04"/>
    <w:rsid w:val="33ECCDC0"/>
    <w:rsid w:val="345FE5CC"/>
    <w:rsid w:val="346E791A"/>
    <w:rsid w:val="3498B614"/>
    <w:rsid w:val="34B6A801"/>
    <w:rsid w:val="35448108"/>
    <w:rsid w:val="3576E8E4"/>
    <w:rsid w:val="35A37D79"/>
    <w:rsid w:val="35A47EBF"/>
    <w:rsid w:val="35BE13C8"/>
    <w:rsid w:val="35C48A9E"/>
    <w:rsid w:val="360FB3BF"/>
    <w:rsid w:val="36332406"/>
    <w:rsid w:val="36464E2D"/>
    <w:rsid w:val="3652E5E4"/>
    <w:rsid w:val="36D13E9E"/>
    <w:rsid w:val="36ED71DE"/>
    <w:rsid w:val="370B05C8"/>
    <w:rsid w:val="38151CE5"/>
    <w:rsid w:val="382B5AC2"/>
    <w:rsid w:val="3853CFC9"/>
    <w:rsid w:val="3875AD7E"/>
    <w:rsid w:val="38AF6F8F"/>
    <w:rsid w:val="39296D05"/>
    <w:rsid w:val="392A00C7"/>
    <w:rsid w:val="3930B0AF"/>
    <w:rsid w:val="3A559A1A"/>
    <w:rsid w:val="3A6DB992"/>
    <w:rsid w:val="3AA5200C"/>
    <w:rsid w:val="3ACE384E"/>
    <w:rsid w:val="3AE3FC3C"/>
    <w:rsid w:val="3B0520C4"/>
    <w:rsid w:val="3B1B78C7"/>
    <w:rsid w:val="3B3266B5"/>
    <w:rsid w:val="3BC9F5E7"/>
    <w:rsid w:val="3C0C2A08"/>
    <w:rsid w:val="3C0E4012"/>
    <w:rsid w:val="3C231E19"/>
    <w:rsid w:val="3C458ACD"/>
    <w:rsid w:val="3C9F511E"/>
    <w:rsid w:val="3D0E8245"/>
    <w:rsid w:val="3D758A16"/>
    <w:rsid w:val="3D93B5FD"/>
    <w:rsid w:val="3D98337D"/>
    <w:rsid w:val="3E3F2C89"/>
    <w:rsid w:val="3E4CD442"/>
    <w:rsid w:val="3E651024"/>
    <w:rsid w:val="3E70A3C3"/>
    <w:rsid w:val="3EE9C128"/>
    <w:rsid w:val="3F196A87"/>
    <w:rsid w:val="3F8AE4D6"/>
    <w:rsid w:val="3F948982"/>
    <w:rsid w:val="3FA116DB"/>
    <w:rsid w:val="3FAB1091"/>
    <w:rsid w:val="4024D430"/>
    <w:rsid w:val="402F4994"/>
    <w:rsid w:val="4068E8B5"/>
    <w:rsid w:val="407FDEC4"/>
    <w:rsid w:val="40985FDA"/>
    <w:rsid w:val="40C0A7BB"/>
    <w:rsid w:val="412D65B0"/>
    <w:rsid w:val="41893F87"/>
    <w:rsid w:val="41B7E7DF"/>
    <w:rsid w:val="41E72FFD"/>
    <w:rsid w:val="41F502B5"/>
    <w:rsid w:val="41F91490"/>
    <w:rsid w:val="4221DD31"/>
    <w:rsid w:val="422F209E"/>
    <w:rsid w:val="425A83DF"/>
    <w:rsid w:val="4262B7D8"/>
    <w:rsid w:val="42A438BD"/>
    <w:rsid w:val="42F07192"/>
    <w:rsid w:val="43071D66"/>
    <w:rsid w:val="4330F7F6"/>
    <w:rsid w:val="43B47B30"/>
    <w:rsid w:val="43BC79C4"/>
    <w:rsid w:val="44141551"/>
    <w:rsid w:val="444B7A6E"/>
    <w:rsid w:val="444F2DF7"/>
    <w:rsid w:val="447F30B5"/>
    <w:rsid w:val="44BBB1BD"/>
    <w:rsid w:val="451F6FA3"/>
    <w:rsid w:val="4525E3EE"/>
    <w:rsid w:val="453E98A0"/>
    <w:rsid w:val="454F8436"/>
    <w:rsid w:val="45D619C8"/>
    <w:rsid w:val="461FA17E"/>
    <w:rsid w:val="4628E5CD"/>
    <w:rsid w:val="4633BAE6"/>
    <w:rsid w:val="465E504E"/>
    <w:rsid w:val="46986C0D"/>
    <w:rsid w:val="47040409"/>
    <w:rsid w:val="47DBF722"/>
    <w:rsid w:val="48223BD7"/>
    <w:rsid w:val="482B90A7"/>
    <w:rsid w:val="48BBB4F1"/>
    <w:rsid w:val="48E9F22D"/>
    <w:rsid w:val="48ED21F2"/>
    <w:rsid w:val="490223A6"/>
    <w:rsid w:val="49747D90"/>
    <w:rsid w:val="49861B91"/>
    <w:rsid w:val="4A6E84FF"/>
    <w:rsid w:val="4B08523B"/>
    <w:rsid w:val="4B20B209"/>
    <w:rsid w:val="4B2572BA"/>
    <w:rsid w:val="4B6016D2"/>
    <w:rsid w:val="4BA30D95"/>
    <w:rsid w:val="4BBC261F"/>
    <w:rsid w:val="4C7F5901"/>
    <w:rsid w:val="4DD1966E"/>
    <w:rsid w:val="4DF96E32"/>
    <w:rsid w:val="4E3D1001"/>
    <w:rsid w:val="4E429B2D"/>
    <w:rsid w:val="4EC5F2F5"/>
    <w:rsid w:val="4F3F93FA"/>
    <w:rsid w:val="4FE40805"/>
    <w:rsid w:val="50089F3D"/>
    <w:rsid w:val="5036C6EA"/>
    <w:rsid w:val="5065A102"/>
    <w:rsid w:val="50DBE4D1"/>
    <w:rsid w:val="516B9992"/>
    <w:rsid w:val="518B1A30"/>
    <w:rsid w:val="518BE099"/>
    <w:rsid w:val="51D22300"/>
    <w:rsid w:val="51EC9C38"/>
    <w:rsid w:val="51FC8B29"/>
    <w:rsid w:val="52DED02B"/>
    <w:rsid w:val="52EE3D34"/>
    <w:rsid w:val="531F8618"/>
    <w:rsid w:val="536A0328"/>
    <w:rsid w:val="537124A2"/>
    <w:rsid w:val="5399A6F6"/>
    <w:rsid w:val="53CE932E"/>
    <w:rsid w:val="540D6D8D"/>
    <w:rsid w:val="546D21E3"/>
    <w:rsid w:val="54AAF47F"/>
    <w:rsid w:val="54AC63C8"/>
    <w:rsid w:val="54C78E7C"/>
    <w:rsid w:val="54C96387"/>
    <w:rsid w:val="55066888"/>
    <w:rsid w:val="5527C641"/>
    <w:rsid w:val="5529B110"/>
    <w:rsid w:val="5550D209"/>
    <w:rsid w:val="56040091"/>
    <w:rsid w:val="561B350F"/>
    <w:rsid w:val="56578D74"/>
    <w:rsid w:val="5658A383"/>
    <w:rsid w:val="56E781D2"/>
    <w:rsid w:val="56EFAA27"/>
    <w:rsid w:val="56FD9276"/>
    <w:rsid w:val="57AE72D9"/>
    <w:rsid w:val="581C1645"/>
    <w:rsid w:val="58322662"/>
    <w:rsid w:val="583942CF"/>
    <w:rsid w:val="584A6652"/>
    <w:rsid w:val="58D77FDE"/>
    <w:rsid w:val="58EBAD6F"/>
    <w:rsid w:val="5948C523"/>
    <w:rsid w:val="59771014"/>
    <w:rsid w:val="5977305A"/>
    <w:rsid w:val="59CF36B8"/>
    <w:rsid w:val="59DD90A8"/>
    <w:rsid w:val="59F345B2"/>
    <w:rsid w:val="5B9FDC78"/>
    <w:rsid w:val="5C779416"/>
    <w:rsid w:val="5D1A952A"/>
    <w:rsid w:val="5D2BF171"/>
    <w:rsid w:val="5D3178DD"/>
    <w:rsid w:val="5D594B53"/>
    <w:rsid w:val="5DFB6F1C"/>
    <w:rsid w:val="5E3B52CC"/>
    <w:rsid w:val="5E747F4F"/>
    <w:rsid w:val="5E7EDC18"/>
    <w:rsid w:val="5E882C9D"/>
    <w:rsid w:val="5ECF2602"/>
    <w:rsid w:val="5F1AE6B9"/>
    <w:rsid w:val="5F2DC8E2"/>
    <w:rsid w:val="605C39DE"/>
    <w:rsid w:val="606A7784"/>
    <w:rsid w:val="609D8D1E"/>
    <w:rsid w:val="6129CB98"/>
    <w:rsid w:val="612F67AE"/>
    <w:rsid w:val="614428A9"/>
    <w:rsid w:val="6148A3D7"/>
    <w:rsid w:val="61499D59"/>
    <w:rsid w:val="61AD2994"/>
    <w:rsid w:val="61CE1F98"/>
    <w:rsid w:val="61D04E4C"/>
    <w:rsid w:val="621D23E7"/>
    <w:rsid w:val="625AD006"/>
    <w:rsid w:val="62783EE2"/>
    <w:rsid w:val="6298147F"/>
    <w:rsid w:val="63794183"/>
    <w:rsid w:val="637E4710"/>
    <w:rsid w:val="64001CC6"/>
    <w:rsid w:val="64106324"/>
    <w:rsid w:val="641814B3"/>
    <w:rsid w:val="64240835"/>
    <w:rsid w:val="6440FE51"/>
    <w:rsid w:val="644C426F"/>
    <w:rsid w:val="645D2068"/>
    <w:rsid w:val="6487D9FA"/>
    <w:rsid w:val="64CBC5E9"/>
    <w:rsid w:val="65172315"/>
    <w:rsid w:val="660FC8C1"/>
    <w:rsid w:val="66588751"/>
    <w:rsid w:val="666797EA"/>
    <w:rsid w:val="667A28FE"/>
    <w:rsid w:val="66C16E44"/>
    <w:rsid w:val="671775F7"/>
    <w:rsid w:val="672A08DF"/>
    <w:rsid w:val="67AA32A4"/>
    <w:rsid w:val="6866260C"/>
    <w:rsid w:val="687B45C1"/>
    <w:rsid w:val="689B55A5"/>
    <w:rsid w:val="68CB43C3"/>
    <w:rsid w:val="68D55683"/>
    <w:rsid w:val="68EE0C64"/>
    <w:rsid w:val="69E9C0F3"/>
    <w:rsid w:val="69EEF304"/>
    <w:rsid w:val="6A3B9A54"/>
    <w:rsid w:val="6A464951"/>
    <w:rsid w:val="6A81E0A4"/>
    <w:rsid w:val="6AE2BADF"/>
    <w:rsid w:val="6AF3FE62"/>
    <w:rsid w:val="6B036F06"/>
    <w:rsid w:val="6B72FFD6"/>
    <w:rsid w:val="6B7552D9"/>
    <w:rsid w:val="6B7EFBDC"/>
    <w:rsid w:val="6BC7CAA3"/>
    <w:rsid w:val="6BF56EFA"/>
    <w:rsid w:val="6CB496CD"/>
    <w:rsid w:val="6CEB177E"/>
    <w:rsid w:val="6CF2D17D"/>
    <w:rsid w:val="6D6B1CE0"/>
    <w:rsid w:val="6D9CCA6B"/>
    <w:rsid w:val="6DF87690"/>
    <w:rsid w:val="6E1C3B49"/>
    <w:rsid w:val="6E339BE5"/>
    <w:rsid w:val="6E3D1155"/>
    <w:rsid w:val="6EFA97D1"/>
    <w:rsid w:val="6F1873C2"/>
    <w:rsid w:val="6F5E2061"/>
    <w:rsid w:val="6FAF7830"/>
    <w:rsid w:val="7007D374"/>
    <w:rsid w:val="70662127"/>
    <w:rsid w:val="70677C8A"/>
    <w:rsid w:val="70C44781"/>
    <w:rsid w:val="70DE769D"/>
    <w:rsid w:val="712E66AF"/>
    <w:rsid w:val="7135EFED"/>
    <w:rsid w:val="71758374"/>
    <w:rsid w:val="717ECFC0"/>
    <w:rsid w:val="71BF0152"/>
    <w:rsid w:val="71D5C670"/>
    <w:rsid w:val="71E27AC9"/>
    <w:rsid w:val="725C9017"/>
    <w:rsid w:val="725CA74C"/>
    <w:rsid w:val="72615491"/>
    <w:rsid w:val="72A04771"/>
    <w:rsid w:val="72B542CD"/>
    <w:rsid w:val="72CF01EB"/>
    <w:rsid w:val="730D69A6"/>
    <w:rsid w:val="732DB7BC"/>
    <w:rsid w:val="736F315A"/>
    <w:rsid w:val="7394B4F8"/>
    <w:rsid w:val="73E9181A"/>
    <w:rsid w:val="740601E5"/>
    <w:rsid w:val="74411E09"/>
    <w:rsid w:val="7457B9D8"/>
    <w:rsid w:val="74E7E3E9"/>
    <w:rsid w:val="74EAFC28"/>
    <w:rsid w:val="74FCEBAB"/>
    <w:rsid w:val="7506005B"/>
    <w:rsid w:val="75A8C497"/>
    <w:rsid w:val="75AF16FA"/>
    <w:rsid w:val="75D018D3"/>
    <w:rsid w:val="76100404"/>
    <w:rsid w:val="76238600"/>
    <w:rsid w:val="766DA3AE"/>
    <w:rsid w:val="767E716D"/>
    <w:rsid w:val="76DC5C65"/>
    <w:rsid w:val="77399C23"/>
    <w:rsid w:val="77526B43"/>
    <w:rsid w:val="77CA8B82"/>
    <w:rsid w:val="78011971"/>
    <w:rsid w:val="782FF9C8"/>
    <w:rsid w:val="7860F923"/>
    <w:rsid w:val="7878CA23"/>
    <w:rsid w:val="7889606A"/>
    <w:rsid w:val="789F3922"/>
    <w:rsid w:val="78B11465"/>
    <w:rsid w:val="78BFCD65"/>
    <w:rsid w:val="78C05D3E"/>
    <w:rsid w:val="78E06559"/>
    <w:rsid w:val="78E153BF"/>
    <w:rsid w:val="790EF593"/>
    <w:rsid w:val="792F2D85"/>
    <w:rsid w:val="795A9924"/>
    <w:rsid w:val="799CE9D2"/>
    <w:rsid w:val="7A79AE06"/>
    <w:rsid w:val="7A838C82"/>
    <w:rsid w:val="7AB8FB11"/>
    <w:rsid w:val="7BC490E2"/>
    <w:rsid w:val="7BF43F36"/>
    <w:rsid w:val="7BFBD902"/>
    <w:rsid w:val="7C06FE55"/>
    <w:rsid w:val="7C4E982E"/>
    <w:rsid w:val="7C668E2A"/>
    <w:rsid w:val="7CB1E5A4"/>
    <w:rsid w:val="7CEA3B7A"/>
    <w:rsid w:val="7CF3B35F"/>
    <w:rsid w:val="7D34AA7A"/>
    <w:rsid w:val="7DBEF1E0"/>
    <w:rsid w:val="7E0AA38E"/>
    <w:rsid w:val="7E1A8C17"/>
    <w:rsid w:val="7E28C7AF"/>
    <w:rsid w:val="7E4323B4"/>
    <w:rsid w:val="7E4DCCE6"/>
    <w:rsid w:val="7EF2B681"/>
    <w:rsid w:val="7F218A67"/>
    <w:rsid w:val="7F29C756"/>
    <w:rsid w:val="7FD53E8B"/>
    <w:rsid w:val="7FEB8A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89462"/>
  <w15:docId w15:val="{AA2AA1FC-46D8-4E6E-B05A-6717081A4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color w:val="000000" w:themeColor="text1"/>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624F"/>
  </w:style>
  <w:style w:type="paragraph" w:styleId="Heading1">
    <w:name w:val="heading 1"/>
    <w:basedOn w:val="Normal"/>
    <w:next w:val="Normal"/>
    <w:link w:val="Heading1Char"/>
    <w:uiPriority w:val="9"/>
    <w:qFormat/>
    <w:rsid w:val="00A431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431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86CF5"/>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F251C"/>
    <w:pPr>
      <w:ind w:left="720"/>
      <w:contextualSpacing/>
    </w:pPr>
  </w:style>
  <w:style w:type="table" w:styleId="TableGrid">
    <w:name w:val="Table Grid"/>
    <w:basedOn w:val="TableNormal"/>
    <w:uiPriority w:val="39"/>
    <w:rsid w:val="00770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2">
    <w:name w:val="Grid Table 1 Light Accent 2"/>
    <w:basedOn w:val="TableNormal"/>
    <w:uiPriority w:val="46"/>
    <w:rsid w:val="00770043"/>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770043"/>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2">
    <w:name w:val="Grid Table 4 Accent 2"/>
    <w:basedOn w:val="TableNormal"/>
    <w:uiPriority w:val="49"/>
    <w:rsid w:val="00770043"/>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1">
    <w:name w:val="Grid Table 4 Accent 1"/>
    <w:basedOn w:val="TableNormal"/>
    <w:uiPriority w:val="49"/>
    <w:rsid w:val="0077004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Accent1">
    <w:name w:val="Grid Table 1 Light Accent 1"/>
    <w:basedOn w:val="TableNormal"/>
    <w:uiPriority w:val="46"/>
    <w:rsid w:val="00A116BF"/>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A116B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ListTable3-Accent1">
    <w:name w:val="List Table 3 Accent 1"/>
    <w:basedOn w:val="TableNormal"/>
    <w:uiPriority w:val="48"/>
    <w:rsid w:val="005219E3"/>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paragraph" w:styleId="Header">
    <w:name w:val="header"/>
    <w:basedOn w:val="Normal"/>
    <w:link w:val="HeaderChar"/>
    <w:uiPriority w:val="99"/>
    <w:unhideWhenUsed/>
    <w:rsid w:val="00553F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3F53"/>
  </w:style>
  <w:style w:type="paragraph" w:styleId="Footer">
    <w:name w:val="footer"/>
    <w:basedOn w:val="Normal"/>
    <w:link w:val="FooterChar"/>
    <w:uiPriority w:val="99"/>
    <w:unhideWhenUsed/>
    <w:rsid w:val="00553F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3F53"/>
  </w:style>
  <w:style w:type="table" w:styleId="ListTable3">
    <w:name w:val="List Table 3"/>
    <w:basedOn w:val="TableNormal"/>
    <w:uiPriority w:val="48"/>
    <w:rsid w:val="00E83296"/>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BalloonText">
    <w:name w:val="Balloon Text"/>
    <w:basedOn w:val="Normal"/>
    <w:link w:val="BalloonTextChar"/>
    <w:uiPriority w:val="99"/>
    <w:semiHidden/>
    <w:unhideWhenUsed/>
    <w:rsid w:val="004E4A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74"/>
    <w:rPr>
      <w:rFonts w:ascii="Segoe UI" w:hAnsi="Segoe UI" w:cs="Segoe UI"/>
      <w:sz w:val="18"/>
      <w:szCs w:val="18"/>
    </w:rPr>
  </w:style>
  <w:style w:type="character" w:styleId="CommentReference">
    <w:name w:val="annotation reference"/>
    <w:basedOn w:val="DefaultParagraphFont"/>
    <w:uiPriority w:val="99"/>
    <w:unhideWhenUsed/>
    <w:rsid w:val="009C265D"/>
    <w:rPr>
      <w:sz w:val="16"/>
      <w:szCs w:val="16"/>
    </w:rPr>
  </w:style>
  <w:style w:type="paragraph" w:styleId="CommentText">
    <w:name w:val="annotation text"/>
    <w:basedOn w:val="Normal"/>
    <w:link w:val="CommentTextChar"/>
    <w:uiPriority w:val="99"/>
    <w:unhideWhenUsed/>
    <w:rsid w:val="009C265D"/>
    <w:pPr>
      <w:spacing w:line="240" w:lineRule="auto"/>
    </w:pPr>
    <w:rPr>
      <w:sz w:val="20"/>
      <w:szCs w:val="20"/>
    </w:rPr>
  </w:style>
  <w:style w:type="character" w:customStyle="1" w:styleId="CommentTextChar">
    <w:name w:val="Comment Text Char"/>
    <w:basedOn w:val="DefaultParagraphFont"/>
    <w:link w:val="CommentText"/>
    <w:uiPriority w:val="99"/>
    <w:rsid w:val="009C265D"/>
    <w:rPr>
      <w:sz w:val="20"/>
      <w:szCs w:val="20"/>
    </w:rPr>
  </w:style>
  <w:style w:type="paragraph" w:styleId="CommentSubject">
    <w:name w:val="annotation subject"/>
    <w:basedOn w:val="CommentText"/>
    <w:next w:val="CommentText"/>
    <w:link w:val="CommentSubjectChar"/>
    <w:uiPriority w:val="99"/>
    <w:semiHidden/>
    <w:unhideWhenUsed/>
    <w:rsid w:val="009C265D"/>
    <w:rPr>
      <w:b/>
      <w:bCs/>
    </w:rPr>
  </w:style>
  <w:style w:type="character" w:customStyle="1" w:styleId="CommentSubjectChar">
    <w:name w:val="Comment Subject Char"/>
    <w:basedOn w:val="CommentTextChar"/>
    <w:link w:val="CommentSubject"/>
    <w:uiPriority w:val="99"/>
    <w:semiHidden/>
    <w:rsid w:val="009C265D"/>
    <w:rPr>
      <w:b/>
      <w:bCs/>
      <w:sz w:val="20"/>
      <w:szCs w:val="20"/>
    </w:rPr>
  </w:style>
  <w:style w:type="paragraph" w:styleId="FootnoteText">
    <w:name w:val="footnote text"/>
    <w:basedOn w:val="Normal"/>
    <w:link w:val="FootnoteTextChar"/>
    <w:uiPriority w:val="99"/>
    <w:semiHidden/>
    <w:unhideWhenUsed/>
    <w:rsid w:val="00D5647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6470"/>
    <w:rPr>
      <w:sz w:val="20"/>
      <w:szCs w:val="20"/>
    </w:rPr>
  </w:style>
  <w:style w:type="character" w:styleId="FootnoteReference">
    <w:name w:val="footnote reference"/>
    <w:basedOn w:val="DefaultParagraphFont"/>
    <w:uiPriority w:val="99"/>
    <w:semiHidden/>
    <w:unhideWhenUsed/>
    <w:rsid w:val="00D56470"/>
    <w:rPr>
      <w:vertAlign w:val="superscript"/>
    </w:rPr>
  </w:style>
  <w:style w:type="character" w:styleId="Hyperlink">
    <w:name w:val="Hyperlink"/>
    <w:basedOn w:val="DefaultParagraphFont"/>
    <w:uiPriority w:val="99"/>
    <w:unhideWhenUsed/>
    <w:rsid w:val="008C31F9"/>
    <w:rPr>
      <w:color w:val="0563C1" w:themeColor="hyperlink"/>
      <w:u w:val="single"/>
    </w:rPr>
  </w:style>
  <w:style w:type="character" w:styleId="UnresolvedMention">
    <w:name w:val="Unresolved Mention"/>
    <w:basedOn w:val="DefaultParagraphFont"/>
    <w:uiPriority w:val="99"/>
    <w:semiHidden/>
    <w:unhideWhenUsed/>
    <w:rsid w:val="008C31F9"/>
    <w:rPr>
      <w:color w:val="605E5C"/>
      <w:shd w:val="clear" w:color="auto" w:fill="E1DFDD"/>
    </w:rPr>
  </w:style>
  <w:style w:type="paragraph" w:styleId="Revision">
    <w:name w:val="Revision"/>
    <w:hidden/>
    <w:uiPriority w:val="99"/>
    <w:semiHidden/>
    <w:rsid w:val="00517CBE"/>
    <w:pPr>
      <w:spacing w:after="0" w:line="240" w:lineRule="auto"/>
    </w:pPr>
  </w:style>
  <w:style w:type="paragraph" w:customStyle="1" w:styleId="Policytitle">
    <w:name w:val="Policy title"/>
    <w:basedOn w:val="Normal"/>
    <w:autoRedefine/>
    <w:qFormat/>
    <w:rsid w:val="007754E4"/>
    <w:pPr>
      <w:widowControl w:val="0"/>
      <w:tabs>
        <w:tab w:val="left" w:pos="8364"/>
        <w:tab w:val="left" w:pos="8789"/>
        <w:tab w:val="left" w:pos="9072"/>
      </w:tabs>
      <w:spacing w:after="0" w:line="240" w:lineRule="auto"/>
      <w:ind w:left="1134" w:right="-23"/>
    </w:pPr>
    <w:rPr>
      <w:rFonts w:eastAsia="Carme"/>
      <w:bCs/>
      <w:color w:val="745B5C"/>
    </w:rPr>
  </w:style>
  <w:style w:type="character" w:customStyle="1" w:styleId="ListParagraphChar">
    <w:name w:val="List Paragraph Char"/>
    <w:link w:val="ListParagraph"/>
    <w:uiPriority w:val="34"/>
    <w:rsid w:val="007754E4"/>
  </w:style>
  <w:style w:type="character" w:styleId="FollowedHyperlink">
    <w:name w:val="FollowedHyperlink"/>
    <w:basedOn w:val="DefaultParagraphFont"/>
    <w:uiPriority w:val="99"/>
    <w:semiHidden/>
    <w:unhideWhenUsed/>
    <w:rsid w:val="00646AC7"/>
    <w:rPr>
      <w:color w:val="954F72" w:themeColor="followedHyperlink"/>
      <w:u w:val="single"/>
    </w:rPr>
  </w:style>
  <w:style w:type="paragraph" w:customStyle="1" w:styleId="Style1">
    <w:name w:val="Style1"/>
    <w:basedOn w:val="Normal"/>
    <w:link w:val="Style1Char"/>
    <w:qFormat/>
    <w:rsid w:val="00651EE2"/>
    <w:pPr>
      <w:spacing w:after="0"/>
      <w:jc w:val="both"/>
    </w:pPr>
    <w:rPr>
      <w:rFonts w:eastAsia="Times New Roman"/>
      <w:b/>
      <w:bCs/>
      <w:color w:val="212529"/>
      <w:sz w:val="32"/>
      <w:szCs w:val="32"/>
      <w:lang w:eastAsia="en-GB"/>
    </w:rPr>
  </w:style>
  <w:style w:type="paragraph" w:customStyle="1" w:styleId="Style2">
    <w:name w:val="Style2"/>
    <w:basedOn w:val="Normal"/>
    <w:link w:val="Style2Char"/>
    <w:qFormat/>
    <w:rsid w:val="00651EE2"/>
    <w:rPr>
      <w:rFonts w:eastAsia="Times New Roman"/>
      <w:b/>
      <w:bCs/>
      <w:color w:val="212529"/>
      <w:sz w:val="28"/>
      <w:szCs w:val="28"/>
      <w:lang w:eastAsia="en-GB"/>
    </w:rPr>
  </w:style>
  <w:style w:type="character" w:customStyle="1" w:styleId="Style1Char">
    <w:name w:val="Style1 Char"/>
    <w:basedOn w:val="DefaultParagraphFont"/>
    <w:link w:val="Style1"/>
    <w:rsid w:val="00651EE2"/>
    <w:rPr>
      <w:rFonts w:ascii="Arial" w:eastAsia="Times New Roman" w:hAnsi="Arial" w:cs="Arial"/>
      <w:b/>
      <w:bCs/>
      <w:color w:val="212529"/>
      <w:sz w:val="32"/>
      <w:szCs w:val="32"/>
      <w:lang w:eastAsia="en-GB"/>
    </w:rPr>
  </w:style>
  <w:style w:type="paragraph" w:customStyle="1" w:styleId="Style3">
    <w:name w:val="Style3"/>
    <w:basedOn w:val="Normal"/>
    <w:link w:val="Style3Char"/>
    <w:qFormat/>
    <w:rsid w:val="00EA3268"/>
    <w:pPr>
      <w:shd w:val="clear" w:color="auto" w:fill="FFFFFF"/>
      <w:tabs>
        <w:tab w:val="left" w:pos="8789"/>
      </w:tabs>
      <w:spacing w:after="120" w:line="240" w:lineRule="auto"/>
    </w:pPr>
    <w:rPr>
      <w:rFonts w:eastAsia="Times New Roman"/>
      <w:b/>
      <w:bCs/>
      <w:color w:val="212529"/>
      <w:lang w:eastAsia="en-GB"/>
    </w:rPr>
  </w:style>
  <w:style w:type="character" w:customStyle="1" w:styleId="Style2Char">
    <w:name w:val="Style2 Char"/>
    <w:basedOn w:val="DefaultParagraphFont"/>
    <w:link w:val="Style2"/>
    <w:rsid w:val="00651EE2"/>
    <w:rPr>
      <w:rFonts w:ascii="Arial" w:eastAsia="Times New Roman" w:hAnsi="Arial" w:cs="Arial"/>
      <w:b/>
      <w:bCs/>
      <w:color w:val="212529"/>
      <w:sz w:val="28"/>
      <w:szCs w:val="28"/>
      <w:lang w:eastAsia="en-GB"/>
    </w:rPr>
  </w:style>
  <w:style w:type="character" w:customStyle="1" w:styleId="Heading1Char">
    <w:name w:val="Heading 1 Char"/>
    <w:basedOn w:val="DefaultParagraphFont"/>
    <w:link w:val="Heading1"/>
    <w:uiPriority w:val="9"/>
    <w:rsid w:val="00A43117"/>
    <w:rPr>
      <w:rFonts w:asciiTheme="majorHAnsi" w:eastAsiaTheme="majorEastAsia" w:hAnsiTheme="majorHAnsi" w:cstheme="majorBidi"/>
      <w:color w:val="2F5496" w:themeColor="accent1" w:themeShade="BF"/>
      <w:sz w:val="32"/>
      <w:szCs w:val="32"/>
    </w:rPr>
  </w:style>
  <w:style w:type="character" w:customStyle="1" w:styleId="Style3Char">
    <w:name w:val="Style3 Char"/>
    <w:basedOn w:val="DefaultParagraphFont"/>
    <w:link w:val="Style3"/>
    <w:rsid w:val="00EA3268"/>
    <w:rPr>
      <w:rFonts w:ascii="Arial" w:eastAsia="Times New Roman" w:hAnsi="Arial" w:cs="Arial"/>
      <w:b/>
      <w:bCs/>
      <w:color w:val="212529"/>
      <w:sz w:val="24"/>
      <w:szCs w:val="24"/>
      <w:shd w:val="clear" w:color="auto" w:fill="FFFFFF"/>
      <w:lang w:eastAsia="en-GB"/>
    </w:rPr>
  </w:style>
  <w:style w:type="paragraph" w:styleId="TOCHeading">
    <w:name w:val="TOC Heading"/>
    <w:basedOn w:val="Heading1"/>
    <w:next w:val="Normal"/>
    <w:uiPriority w:val="39"/>
    <w:unhideWhenUsed/>
    <w:qFormat/>
    <w:rsid w:val="00A43117"/>
    <w:pPr>
      <w:outlineLvl w:val="9"/>
    </w:pPr>
    <w:rPr>
      <w:lang w:val="en-US"/>
    </w:rPr>
  </w:style>
  <w:style w:type="paragraph" w:styleId="TOC2">
    <w:name w:val="toc 2"/>
    <w:basedOn w:val="Normal"/>
    <w:next w:val="Normal"/>
    <w:autoRedefine/>
    <w:uiPriority w:val="39"/>
    <w:unhideWhenUsed/>
    <w:rsid w:val="002B3500"/>
    <w:pPr>
      <w:tabs>
        <w:tab w:val="right" w:pos="9040"/>
      </w:tabs>
      <w:spacing w:before="120" w:after="100"/>
      <w:ind w:left="581"/>
    </w:pPr>
    <w:rPr>
      <w:rFonts w:eastAsiaTheme="minorEastAsia" w:cs="Times New Roman"/>
      <w:b/>
      <w:noProof/>
      <w:sz w:val="28"/>
      <w:szCs w:val="28"/>
      <w:lang w:val="en-US"/>
    </w:rPr>
  </w:style>
  <w:style w:type="paragraph" w:styleId="TOC1">
    <w:name w:val="toc 1"/>
    <w:basedOn w:val="Normal"/>
    <w:next w:val="Normal"/>
    <w:autoRedefine/>
    <w:uiPriority w:val="39"/>
    <w:unhideWhenUsed/>
    <w:rsid w:val="00154B30"/>
    <w:pPr>
      <w:tabs>
        <w:tab w:val="right" w:pos="9016"/>
      </w:tabs>
      <w:spacing w:before="240" w:after="100"/>
    </w:pPr>
    <w:rPr>
      <w:rFonts w:eastAsiaTheme="minorEastAsia" w:cs="Times New Roman"/>
      <w:b/>
      <w:sz w:val="28"/>
      <w:lang w:val="en-US"/>
    </w:rPr>
  </w:style>
  <w:style w:type="paragraph" w:styleId="TOC3">
    <w:name w:val="toc 3"/>
    <w:basedOn w:val="Normal"/>
    <w:next w:val="Normal"/>
    <w:autoRedefine/>
    <w:uiPriority w:val="39"/>
    <w:unhideWhenUsed/>
    <w:rsid w:val="00A43117"/>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A43117"/>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C82911"/>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semiHidden/>
    <w:rsid w:val="00486CF5"/>
    <w:rPr>
      <w:rFonts w:asciiTheme="majorHAnsi" w:eastAsiaTheme="majorEastAsia" w:hAnsiTheme="majorHAnsi" w:cstheme="majorBidi"/>
      <w:color w:val="1F3763" w:themeColor="accent1" w:themeShade="7F"/>
      <w:sz w:val="24"/>
      <w:szCs w:val="24"/>
    </w:rPr>
  </w:style>
  <w:style w:type="character" w:styleId="Mention">
    <w:name w:val="Mention"/>
    <w:basedOn w:val="DefaultParagraphFont"/>
    <w:uiPriority w:val="99"/>
    <w:unhideWhenUsed/>
    <w:rsid w:val="000B1F63"/>
    <w:rPr>
      <w:color w:val="2B579A"/>
      <w:shd w:val="clear" w:color="auto" w:fill="E1DFDD"/>
    </w:rPr>
  </w:style>
  <w:style w:type="character" w:customStyle="1" w:styleId="cf01">
    <w:name w:val="cf01"/>
    <w:basedOn w:val="DefaultParagraphFont"/>
    <w:rsid w:val="0077548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8244">
      <w:bodyDiv w:val="1"/>
      <w:marLeft w:val="0"/>
      <w:marRight w:val="0"/>
      <w:marTop w:val="0"/>
      <w:marBottom w:val="0"/>
      <w:divBdr>
        <w:top w:val="none" w:sz="0" w:space="0" w:color="auto"/>
        <w:left w:val="none" w:sz="0" w:space="0" w:color="auto"/>
        <w:bottom w:val="none" w:sz="0" w:space="0" w:color="auto"/>
        <w:right w:val="none" w:sz="0" w:space="0" w:color="auto"/>
      </w:divBdr>
    </w:div>
    <w:div w:id="35468156">
      <w:bodyDiv w:val="1"/>
      <w:marLeft w:val="0"/>
      <w:marRight w:val="0"/>
      <w:marTop w:val="0"/>
      <w:marBottom w:val="0"/>
      <w:divBdr>
        <w:top w:val="none" w:sz="0" w:space="0" w:color="auto"/>
        <w:left w:val="none" w:sz="0" w:space="0" w:color="auto"/>
        <w:bottom w:val="none" w:sz="0" w:space="0" w:color="auto"/>
        <w:right w:val="none" w:sz="0" w:space="0" w:color="auto"/>
      </w:divBdr>
    </w:div>
    <w:div w:id="54473783">
      <w:bodyDiv w:val="1"/>
      <w:marLeft w:val="0"/>
      <w:marRight w:val="0"/>
      <w:marTop w:val="0"/>
      <w:marBottom w:val="0"/>
      <w:divBdr>
        <w:top w:val="none" w:sz="0" w:space="0" w:color="auto"/>
        <w:left w:val="none" w:sz="0" w:space="0" w:color="auto"/>
        <w:bottom w:val="none" w:sz="0" w:space="0" w:color="auto"/>
        <w:right w:val="none" w:sz="0" w:space="0" w:color="auto"/>
      </w:divBdr>
    </w:div>
    <w:div w:id="59181982">
      <w:bodyDiv w:val="1"/>
      <w:marLeft w:val="0"/>
      <w:marRight w:val="0"/>
      <w:marTop w:val="0"/>
      <w:marBottom w:val="0"/>
      <w:divBdr>
        <w:top w:val="none" w:sz="0" w:space="0" w:color="auto"/>
        <w:left w:val="none" w:sz="0" w:space="0" w:color="auto"/>
        <w:bottom w:val="none" w:sz="0" w:space="0" w:color="auto"/>
        <w:right w:val="none" w:sz="0" w:space="0" w:color="auto"/>
      </w:divBdr>
    </w:div>
    <w:div w:id="61370969">
      <w:bodyDiv w:val="1"/>
      <w:marLeft w:val="0"/>
      <w:marRight w:val="0"/>
      <w:marTop w:val="0"/>
      <w:marBottom w:val="0"/>
      <w:divBdr>
        <w:top w:val="none" w:sz="0" w:space="0" w:color="auto"/>
        <w:left w:val="none" w:sz="0" w:space="0" w:color="auto"/>
        <w:bottom w:val="none" w:sz="0" w:space="0" w:color="auto"/>
        <w:right w:val="none" w:sz="0" w:space="0" w:color="auto"/>
      </w:divBdr>
    </w:div>
    <w:div w:id="102656080">
      <w:bodyDiv w:val="1"/>
      <w:marLeft w:val="0"/>
      <w:marRight w:val="0"/>
      <w:marTop w:val="0"/>
      <w:marBottom w:val="0"/>
      <w:divBdr>
        <w:top w:val="none" w:sz="0" w:space="0" w:color="auto"/>
        <w:left w:val="none" w:sz="0" w:space="0" w:color="auto"/>
        <w:bottom w:val="none" w:sz="0" w:space="0" w:color="auto"/>
        <w:right w:val="none" w:sz="0" w:space="0" w:color="auto"/>
      </w:divBdr>
    </w:div>
    <w:div w:id="103306900">
      <w:bodyDiv w:val="1"/>
      <w:marLeft w:val="0"/>
      <w:marRight w:val="0"/>
      <w:marTop w:val="0"/>
      <w:marBottom w:val="0"/>
      <w:divBdr>
        <w:top w:val="none" w:sz="0" w:space="0" w:color="auto"/>
        <w:left w:val="none" w:sz="0" w:space="0" w:color="auto"/>
        <w:bottom w:val="none" w:sz="0" w:space="0" w:color="auto"/>
        <w:right w:val="none" w:sz="0" w:space="0" w:color="auto"/>
      </w:divBdr>
    </w:div>
    <w:div w:id="111942416">
      <w:bodyDiv w:val="1"/>
      <w:marLeft w:val="0"/>
      <w:marRight w:val="0"/>
      <w:marTop w:val="0"/>
      <w:marBottom w:val="0"/>
      <w:divBdr>
        <w:top w:val="none" w:sz="0" w:space="0" w:color="auto"/>
        <w:left w:val="none" w:sz="0" w:space="0" w:color="auto"/>
        <w:bottom w:val="none" w:sz="0" w:space="0" w:color="auto"/>
        <w:right w:val="none" w:sz="0" w:space="0" w:color="auto"/>
      </w:divBdr>
    </w:div>
    <w:div w:id="121194540">
      <w:bodyDiv w:val="1"/>
      <w:marLeft w:val="0"/>
      <w:marRight w:val="0"/>
      <w:marTop w:val="0"/>
      <w:marBottom w:val="0"/>
      <w:divBdr>
        <w:top w:val="none" w:sz="0" w:space="0" w:color="auto"/>
        <w:left w:val="none" w:sz="0" w:space="0" w:color="auto"/>
        <w:bottom w:val="none" w:sz="0" w:space="0" w:color="auto"/>
        <w:right w:val="none" w:sz="0" w:space="0" w:color="auto"/>
      </w:divBdr>
    </w:div>
    <w:div w:id="130024015">
      <w:bodyDiv w:val="1"/>
      <w:marLeft w:val="0"/>
      <w:marRight w:val="0"/>
      <w:marTop w:val="0"/>
      <w:marBottom w:val="0"/>
      <w:divBdr>
        <w:top w:val="none" w:sz="0" w:space="0" w:color="auto"/>
        <w:left w:val="none" w:sz="0" w:space="0" w:color="auto"/>
        <w:bottom w:val="none" w:sz="0" w:space="0" w:color="auto"/>
        <w:right w:val="none" w:sz="0" w:space="0" w:color="auto"/>
      </w:divBdr>
    </w:div>
    <w:div w:id="146214787">
      <w:bodyDiv w:val="1"/>
      <w:marLeft w:val="0"/>
      <w:marRight w:val="0"/>
      <w:marTop w:val="0"/>
      <w:marBottom w:val="0"/>
      <w:divBdr>
        <w:top w:val="none" w:sz="0" w:space="0" w:color="auto"/>
        <w:left w:val="none" w:sz="0" w:space="0" w:color="auto"/>
        <w:bottom w:val="none" w:sz="0" w:space="0" w:color="auto"/>
        <w:right w:val="none" w:sz="0" w:space="0" w:color="auto"/>
      </w:divBdr>
    </w:div>
    <w:div w:id="157156674">
      <w:bodyDiv w:val="1"/>
      <w:marLeft w:val="0"/>
      <w:marRight w:val="0"/>
      <w:marTop w:val="0"/>
      <w:marBottom w:val="0"/>
      <w:divBdr>
        <w:top w:val="none" w:sz="0" w:space="0" w:color="auto"/>
        <w:left w:val="none" w:sz="0" w:space="0" w:color="auto"/>
        <w:bottom w:val="none" w:sz="0" w:space="0" w:color="auto"/>
        <w:right w:val="none" w:sz="0" w:space="0" w:color="auto"/>
      </w:divBdr>
    </w:div>
    <w:div w:id="158737714">
      <w:bodyDiv w:val="1"/>
      <w:marLeft w:val="0"/>
      <w:marRight w:val="0"/>
      <w:marTop w:val="0"/>
      <w:marBottom w:val="0"/>
      <w:divBdr>
        <w:top w:val="none" w:sz="0" w:space="0" w:color="auto"/>
        <w:left w:val="none" w:sz="0" w:space="0" w:color="auto"/>
        <w:bottom w:val="none" w:sz="0" w:space="0" w:color="auto"/>
        <w:right w:val="none" w:sz="0" w:space="0" w:color="auto"/>
      </w:divBdr>
    </w:div>
    <w:div w:id="185485740">
      <w:bodyDiv w:val="1"/>
      <w:marLeft w:val="0"/>
      <w:marRight w:val="0"/>
      <w:marTop w:val="0"/>
      <w:marBottom w:val="0"/>
      <w:divBdr>
        <w:top w:val="none" w:sz="0" w:space="0" w:color="auto"/>
        <w:left w:val="none" w:sz="0" w:space="0" w:color="auto"/>
        <w:bottom w:val="none" w:sz="0" w:space="0" w:color="auto"/>
        <w:right w:val="none" w:sz="0" w:space="0" w:color="auto"/>
      </w:divBdr>
    </w:div>
    <w:div w:id="198670348">
      <w:bodyDiv w:val="1"/>
      <w:marLeft w:val="0"/>
      <w:marRight w:val="0"/>
      <w:marTop w:val="0"/>
      <w:marBottom w:val="0"/>
      <w:divBdr>
        <w:top w:val="none" w:sz="0" w:space="0" w:color="auto"/>
        <w:left w:val="none" w:sz="0" w:space="0" w:color="auto"/>
        <w:bottom w:val="none" w:sz="0" w:space="0" w:color="auto"/>
        <w:right w:val="none" w:sz="0" w:space="0" w:color="auto"/>
      </w:divBdr>
    </w:div>
    <w:div w:id="208037193">
      <w:bodyDiv w:val="1"/>
      <w:marLeft w:val="0"/>
      <w:marRight w:val="0"/>
      <w:marTop w:val="0"/>
      <w:marBottom w:val="0"/>
      <w:divBdr>
        <w:top w:val="none" w:sz="0" w:space="0" w:color="auto"/>
        <w:left w:val="none" w:sz="0" w:space="0" w:color="auto"/>
        <w:bottom w:val="none" w:sz="0" w:space="0" w:color="auto"/>
        <w:right w:val="none" w:sz="0" w:space="0" w:color="auto"/>
      </w:divBdr>
    </w:div>
    <w:div w:id="212499980">
      <w:bodyDiv w:val="1"/>
      <w:marLeft w:val="0"/>
      <w:marRight w:val="0"/>
      <w:marTop w:val="0"/>
      <w:marBottom w:val="0"/>
      <w:divBdr>
        <w:top w:val="none" w:sz="0" w:space="0" w:color="auto"/>
        <w:left w:val="none" w:sz="0" w:space="0" w:color="auto"/>
        <w:bottom w:val="none" w:sz="0" w:space="0" w:color="auto"/>
        <w:right w:val="none" w:sz="0" w:space="0" w:color="auto"/>
      </w:divBdr>
    </w:div>
    <w:div w:id="219637675">
      <w:bodyDiv w:val="1"/>
      <w:marLeft w:val="0"/>
      <w:marRight w:val="0"/>
      <w:marTop w:val="0"/>
      <w:marBottom w:val="0"/>
      <w:divBdr>
        <w:top w:val="none" w:sz="0" w:space="0" w:color="auto"/>
        <w:left w:val="none" w:sz="0" w:space="0" w:color="auto"/>
        <w:bottom w:val="none" w:sz="0" w:space="0" w:color="auto"/>
        <w:right w:val="none" w:sz="0" w:space="0" w:color="auto"/>
      </w:divBdr>
    </w:div>
    <w:div w:id="223566786">
      <w:bodyDiv w:val="1"/>
      <w:marLeft w:val="0"/>
      <w:marRight w:val="0"/>
      <w:marTop w:val="0"/>
      <w:marBottom w:val="0"/>
      <w:divBdr>
        <w:top w:val="none" w:sz="0" w:space="0" w:color="auto"/>
        <w:left w:val="none" w:sz="0" w:space="0" w:color="auto"/>
        <w:bottom w:val="none" w:sz="0" w:space="0" w:color="auto"/>
        <w:right w:val="none" w:sz="0" w:space="0" w:color="auto"/>
      </w:divBdr>
    </w:div>
    <w:div w:id="232158126">
      <w:bodyDiv w:val="1"/>
      <w:marLeft w:val="0"/>
      <w:marRight w:val="0"/>
      <w:marTop w:val="0"/>
      <w:marBottom w:val="0"/>
      <w:divBdr>
        <w:top w:val="none" w:sz="0" w:space="0" w:color="auto"/>
        <w:left w:val="none" w:sz="0" w:space="0" w:color="auto"/>
        <w:bottom w:val="none" w:sz="0" w:space="0" w:color="auto"/>
        <w:right w:val="none" w:sz="0" w:space="0" w:color="auto"/>
      </w:divBdr>
    </w:div>
    <w:div w:id="241254778">
      <w:bodyDiv w:val="1"/>
      <w:marLeft w:val="0"/>
      <w:marRight w:val="0"/>
      <w:marTop w:val="0"/>
      <w:marBottom w:val="0"/>
      <w:divBdr>
        <w:top w:val="none" w:sz="0" w:space="0" w:color="auto"/>
        <w:left w:val="none" w:sz="0" w:space="0" w:color="auto"/>
        <w:bottom w:val="none" w:sz="0" w:space="0" w:color="auto"/>
        <w:right w:val="none" w:sz="0" w:space="0" w:color="auto"/>
      </w:divBdr>
    </w:div>
    <w:div w:id="252395150">
      <w:bodyDiv w:val="1"/>
      <w:marLeft w:val="0"/>
      <w:marRight w:val="0"/>
      <w:marTop w:val="0"/>
      <w:marBottom w:val="0"/>
      <w:divBdr>
        <w:top w:val="none" w:sz="0" w:space="0" w:color="auto"/>
        <w:left w:val="none" w:sz="0" w:space="0" w:color="auto"/>
        <w:bottom w:val="none" w:sz="0" w:space="0" w:color="auto"/>
        <w:right w:val="none" w:sz="0" w:space="0" w:color="auto"/>
      </w:divBdr>
    </w:div>
    <w:div w:id="261688208">
      <w:bodyDiv w:val="1"/>
      <w:marLeft w:val="0"/>
      <w:marRight w:val="0"/>
      <w:marTop w:val="0"/>
      <w:marBottom w:val="0"/>
      <w:divBdr>
        <w:top w:val="none" w:sz="0" w:space="0" w:color="auto"/>
        <w:left w:val="none" w:sz="0" w:space="0" w:color="auto"/>
        <w:bottom w:val="none" w:sz="0" w:space="0" w:color="auto"/>
        <w:right w:val="none" w:sz="0" w:space="0" w:color="auto"/>
      </w:divBdr>
    </w:div>
    <w:div w:id="267858343">
      <w:bodyDiv w:val="1"/>
      <w:marLeft w:val="0"/>
      <w:marRight w:val="0"/>
      <w:marTop w:val="0"/>
      <w:marBottom w:val="0"/>
      <w:divBdr>
        <w:top w:val="none" w:sz="0" w:space="0" w:color="auto"/>
        <w:left w:val="none" w:sz="0" w:space="0" w:color="auto"/>
        <w:bottom w:val="none" w:sz="0" w:space="0" w:color="auto"/>
        <w:right w:val="none" w:sz="0" w:space="0" w:color="auto"/>
      </w:divBdr>
    </w:div>
    <w:div w:id="270207018">
      <w:bodyDiv w:val="1"/>
      <w:marLeft w:val="0"/>
      <w:marRight w:val="0"/>
      <w:marTop w:val="0"/>
      <w:marBottom w:val="0"/>
      <w:divBdr>
        <w:top w:val="none" w:sz="0" w:space="0" w:color="auto"/>
        <w:left w:val="none" w:sz="0" w:space="0" w:color="auto"/>
        <w:bottom w:val="none" w:sz="0" w:space="0" w:color="auto"/>
        <w:right w:val="none" w:sz="0" w:space="0" w:color="auto"/>
      </w:divBdr>
    </w:div>
    <w:div w:id="285310802">
      <w:bodyDiv w:val="1"/>
      <w:marLeft w:val="0"/>
      <w:marRight w:val="0"/>
      <w:marTop w:val="0"/>
      <w:marBottom w:val="0"/>
      <w:divBdr>
        <w:top w:val="none" w:sz="0" w:space="0" w:color="auto"/>
        <w:left w:val="none" w:sz="0" w:space="0" w:color="auto"/>
        <w:bottom w:val="none" w:sz="0" w:space="0" w:color="auto"/>
        <w:right w:val="none" w:sz="0" w:space="0" w:color="auto"/>
      </w:divBdr>
    </w:div>
    <w:div w:id="289216163">
      <w:bodyDiv w:val="1"/>
      <w:marLeft w:val="0"/>
      <w:marRight w:val="0"/>
      <w:marTop w:val="0"/>
      <w:marBottom w:val="0"/>
      <w:divBdr>
        <w:top w:val="none" w:sz="0" w:space="0" w:color="auto"/>
        <w:left w:val="none" w:sz="0" w:space="0" w:color="auto"/>
        <w:bottom w:val="none" w:sz="0" w:space="0" w:color="auto"/>
        <w:right w:val="none" w:sz="0" w:space="0" w:color="auto"/>
      </w:divBdr>
    </w:div>
    <w:div w:id="290672990">
      <w:bodyDiv w:val="1"/>
      <w:marLeft w:val="0"/>
      <w:marRight w:val="0"/>
      <w:marTop w:val="0"/>
      <w:marBottom w:val="0"/>
      <w:divBdr>
        <w:top w:val="none" w:sz="0" w:space="0" w:color="auto"/>
        <w:left w:val="none" w:sz="0" w:space="0" w:color="auto"/>
        <w:bottom w:val="none" w:sz="0" w:space="0" w:color="auto"/>
        <w:right w:val="none" w:sz="0" w:space="0" w:color="auto"/>
      </w:divBdr>
    </w:div>
    <w:div w:id="297346881">
      <w:bodyDiv w:val="1"/>
      <w:marLeft w:val="0"/>
      <w:marRight w:val="0"/>
      <w:marTop w:val="0"/>
      <w:marBottom w:val="0"/>
      <w:divBdr>
        <w:top w:val="none" w:sz="0" w:space="0" w:color="auto"/>
        <w:left w:val="none" w:sz="0" w:space="0" w:color="auto"/>
        <w:bottom w:val="none" w:sz="0" w:space="0" w:color="auto"/>
        <w:right w:val="none" w:sz="0" w:space="0" w:color="auto"/>
      </w:divBdr>
    </w:div>
    <w:div w:id="323776286">
      <w:bodyDiv w:val="1"/>
      <w:marLeft w:val="0"/>
      <w:marRight w:val="0"/>
      <w:marTop w:val="0"/>
      <w:marBottom w:val="0"/>
      <w:divBdr>
        <w:top w:val="none" w:sz="0" w:space="0" w:color="auto"/>
        <w:left w:val="none" w:sz="0" w:space="0" w:color="auto"/>
        <w:bottom w:val="none" w:sz="0" w:space="0" w:color="auto"/>
        <w:right w:val="none" w:sz="0" w:space="0" w:color="auto"/>
      </w:divBdr>
    </w:div>
    <w:div w:id="340932303">
      <w:bodyDiv w:val="1"/>
      <w:marLeft w:val="0"/>
      <w:marRight w:val="0"/>
      <w:marTop w:val="0"/>
      <w:marBottom w:val="0"/>
      <w:divBdr>
        <w:top w:val="none" w:sz="0" w:space="0" w:color="auto"/>
        <w:left w:val="none" w:sz="0" w:space="0" w:color="auto"/>
        <w:bottom w:val="none" w:sz="0" w:space="0" w:color="auto"/>
        <w:right w:val="none" w:sz="0" w:space="0" w:color="auto"/>
      </w:divBdr>
    </w:div>
    <w:div w:id="345180398">
      <w:bodyDiv w:val="1"/>
      <w:marLeft w:val="0"/>
      <w:marRight w:val="0"/>
      <w:marTop w:val="0"/>
      <w:marBottom w:val="0"/>
      <w:divBdr>
        <w:top w:val="none" w:sz="0" w:space="0" w:color="auto"/>
        <w:left w:val="none" w:sz="0" w:space="0" w:color="auto"/>
        <w:bottom w:val="none" w:sz="0" w:space="0" w:color="auto"/>
        <w:right w:val="none" w:sz="0" w:space="0" w:color="auto"/>
      </w:divBdr>
    </w:div>
    <w:div w:id="382019381">
      <w:bodyDiv w:val="1"/>
      <w:marLeft w:val="0"/>
      <w:marRight w:val="0"/>
      <w:marTop w:val="0"/>
      <w:marBottom w:val="0"/>
      <w:divBdr>
        <w:top w:val="none" w:sz="0" w:space="0" w:color="auto"/>
        <w:left w:val="none" w:sz="0" w:space="0" w:color="auto"/>
        <w:bottom w:val="none" w:sz="0" w:space="0" w:color="auto"/>
        <w:right w:val="none" w:sz="0" w:space="0" w:color="auto"/>
      </w:divBdr>
    </w:div>
    <w:div w:id="391543851">
      <w:bodyDiv w:val="1"/>
      <w:marLeft w:val="0"/>
      <w:marRight w:val="0"/>
      <w:marTop w:val="0"/>
      <w:marBottom w:val="0"/>
      <w:divBdr>
        <w:top w:val="none" w:sz="0" w:space="0" w:color="auto"/>
        <w:left w:val="none" w:sz="0" w:space="0" w:color="auto"/>
        <w:bottom w:val="none" w:sz="0" w:space="0" w:color="auto"/>
        <w:right w:val="none" w:sz="0" w:space="0" w:color="auto"/>
      </w:divBdr>
    </w:div>
    <w:div w:id="410856877">
      <w:bodyDiv w:val="1"/>
      <w:marLeft w:val="0"/>
      <w:marRight w:val="0"/>
      <w:marTop w:val="0"/>
      <w:marBottom w:val="0"/>
      <w:divBdr>
        <w:top w:val="none" w:sz="0" w:space="0" w:color="auto"/>
        <w:left w:val="none" w:sz="0" w:space="0" w:color="auto"/>
        <w:bottom w:val="none" w:sz="0" w:space="0" w:color="auto"/>
        <w:right w:val="none" w:sz="0" w:space="0" w:color="auto"/>
      </w:divBdr>
    </w:div>
    <w:div w:id="431633508">
      <w:bodyDiv w:val="1"/>
      <w:marLeft w:val="0"/>
      <w:marRight w:val="0"/>
      <w:marTop w:val="0"/>
      <w:marBottom w:val="0"/>
      <w:divBdr>
        <w:top w:val="none" w:sz="0" w:space="0" w:color="auto"/>
        <w:left w:val="none" w:sz="0" w:space="0" w:color="auto"/>
        <w:bottom w:val="none" w:sz="0" w:space="0" w:color="auto"/>
        <w:right w:val="none" w:sz="0" w:space="0" w:color="auto"/>
      </w:divBdr>
    </w:div>
    <w:div w:id="440496022">
      <w:bodyDiv w:val="1"/>
      <w:marLeft w:val="0"/>
      <w:marRight w:val="0"/>
      <w:marTop w:val="0"/>
      <w:marBottom w:val="0"/>
      <w:divBdr>
        <w:top w:val="none" w:sz="0" w:space="0" w:color="auto"/>
        <w:left w:val="none" w:sz="0" w:space="0" w:color="auto"/>
        <w:bottom w:val="none" w:sz="0" w:space="0" w:color="auto"/>
        <w:right w:val="none" w:sz="0" w:space="0" w:color="auto"/>
      </w:divBdr>
    </w:div>
    <w:div w:id="450902135">
      <w:bodyDiv w:val="1"/>
      <w:marLeft w:val="0"/>
      <w:marRight w:val="0"/>
      <w:marTop w:val="0"/>
      <w:marBottom w:val="0"/>
      <w:divBdr>
        <w:top w:val="none" w:sz="0" w:space="0" w:color="auto"/>
        <w:left w:val="none" w:sz="0" w:space="0" w:color="auto"/>
        <w:bottom w:val="none" w:sz="0" w:space="0" w:color="auto"/>
        <w:right w:val="none" w:sz="0" w:space="0" w:color="auto"/>
      </w:divBdr>
    </w:div>
    <w:div w:id="458956681">
      <w:bodyDiv w:val="1"/>
      <w:marLeft w:val="0"/>
      <w:marRight w:val="0"/>
      <w:marTop w:val="0"/>
      <w:marBottom w:val="0"/>
      <w:divBdr>
        <w:top w:val="none" w:sz="0" w:space="0" w:color="auto"/>
        <w:left w:val="none" w:sz="0" w:space="0" w:color="auto"/>
        <w:bottom w:val="none" w:sz="0" w:space="0" w:color="auto"/>
        <w:right w:val="none" w:sz="0" w:space="0" w:color="auto"/>
      </w:divBdr>
    </w:div>
    <w:div w:id="488404037">
      <w:bodyDiv w:val="1"/>
      <w:marLeft w:val="0"/>
      <w:marRight w:val="0"/>
      <w:marTop w:val="0"/>
      <w:marBottom w:val="0"/>
      <w:divBdr>
        <w:top w:val="none" w:sz="0" w:space="0" w:color="auto"/>
        <w:left w:val="none" w:sz="0" w:space="0" w:color="auto"/>
        <w:bottom w:val="none" w:sz="0" w:space="0" w:color="auto"/>
        <w:right w:val="none" w:sz="0" w:space="0" w:color="auto"/>
      </w:divBdr>
    </w:div>
    <w:div w:id="526528762">
      <w:bodyDiv w:val="1"/>
      <w:marLeft w:val="0"/>
      <w:marRight w:val="0"/>
      <w:marTop w:val="0"/>
      <w:marBottom w:val="0"/>
      <w:divBdr>
        <w:top w:val="none" w:sz="0" w:space="0" w:color="auto"/>
        <w:left w:val="none" w:sz="0" w:space="0" w:color="auto"/>
        <w:bottom w:val="none" w:sz="0" w:space="0" w:color="auto"/>
        <w:right w:val="none" w:sz="0" w:space="0" w:color="auto"/>
      </w:divBdr>
    </w:div>
    <w:div w:id="531118316">
      <w:bodyDiv w:val="1"/>
      <w:marLeft w:val="0"/>
      <w:marRight w:val="0"/>
      <w:marTop w:val="0"/>
      <w:marBottom w:val="0"/>
      <w:divBdr>
        <w:top w:val="none" w:sz="0" w:space="0" w:color="auto"/>
        <w:left w:val="none" w:sz="0" w:space="0" w:color="auto"/>
        <w:bottom w:val="none" w:sz="0" w:space="0" w:color="auto"/>
        <w:right w:val="none" w:sz="0" w:space="0" w:color="auto"/>
      </w:divBdr>
    </w:div>
    <w:div w:id="552039828">
      <w:bodyDiv w:val="1"/>
      <w:marLeft w:val="0"/>
      <w:marRight w:val="0"/>
      <w:marTop w:val="0"/>
      <w:marBottom w:val="0"/>
      <w:divBdr>
        <w:top w:val="none" w:sz="0" w:space="0" w:color="auto"/>
        <w:left w:val="none" w:sz="0" w:space="0" w:color="auto"/>
        <w:bottom w:val="none" w:sz="0" w:space="0" w:color="auto"/>
        <w:right w:val="none" w:sz="0" w:space="0" w:color="auto"/>
      </w:divBdr>
    </w:div>
    <w:div w:id="574435140">
      <w:bodyDiv w:val="1"/>
      <w:marLeft w:val="0"/>
      <w:marRight w:val="0"/>
      <w:marTop w:val="0"/>
      <w:marBottom w:val="0"/>
      <w:divBdr>
        <w:top w:val="none" w:sz="0" w:space="0" w:color="auto"/>
        <w:left w:val="none" w:sz="0" w:space="0" w:color="auto"/>
        <w:bottom w:val="none" w:sz="0" w:space="0" w:color="auto"/>
        <w:right w:val="none" w:sz="0" w:space="0" w:color="auto"/>
      </w:divBdr>
    </w:div>
    <w:div w:id="579143362">
      <w:bodyDiv w:val="1"/>
      <w:marLeft w:val="0"/>
      <w:marRight w:val="0"/>
      <w:marTop w:val="0"/>
      <w:marBottom w:val="0"/>
      <w:divBdr>
        <w:top w:val="none" w:sz="0" w:space="0" w:color="auto"/>
        <w:left w:val="none" w:sz="0" w:space="0" w:color="auto"/>
        <w:bottom w:val="none" w:sz="0" w:space="0" w:color="auto"/>
        <w:right w:val="none" w:sz="0" w:space="0" w:color="auto"/>
      </w:divBdr>
    </w:div>
    <w:div w:id="592974808">
      <w:bodyDiv w:val="1"/>
      <w:marLeft w:val="0"/>
      <w:marRight w:val="0"/>
      <w:marTop w:val="0"/>
      <w:marBottom w:val="0"/>
      <w:divBdr>
        <w:top w:val="none" w:sz="0" w:space="0" w:color="auto"/>
        <w:left w:val="none" w:sz="0" w:space="0" w:color="auto"/>
        <w:bottom w:val="none" w:sz="0" w:space="0" w:color="auto"/>
        <w:right w:val="none" w:sz="0" w:space="0" w:color="auto"/>
      </w:divBdr>
    </w:div>
    <w:div w:id="596907304">
      <w:bodyDiv w:val="1"/>
      <w:marLeft w:val="0"/>
      <w:marRight w:val="0"/>
      <w:marTop w:val="0"/>
      <w:marBottom w:val="0"/>
      <w:divBdr>
        <w:top w:val="none" w:sz="0" w:space="0" w:color="auto"/>
        <w:left w:val="none" w:sz="0" w:space="0" w:color="auto"/>
        <w:bottom w:val="none" w:sz="0" w:space="0" w:color="auto"/>
        <w:right w:val="none" w:sz="0" w:space="0" w:color="auto"/>
      </w:divBdr>
    </w:div>
    <w:div w:id="597177429">
      <w:bodyDiv w:val="1"/>
      <w:marLeft w:val="0"/>
      <w:marRight w:val="0"/>
      <w:marTop w:val="0"/>
      <w:marBottom w:val="0"/>
      <w:divBdr>
        <w:top w:val="none" w:sz="0" w:space="0" w:color="auto"/>
        <w:left w:val="none" w:sz="0" w:space="0" w:color="auto"/>
        <w:bottom w:val="none" w:sz="0" w:space="0" w:color="auto"/>
        <w:right w:val="none" w:sz="0" w:space="0" w:color="auto"/>
      </w:divBdr>
    </w:div>
    <w:div w:id="600723788">
      <w:bodyDiv w:val="1"/>
      <w:marLeft w:val="0"/>
      <w:marRight w:val="0"/>
      <w:marTop w:val="0"/>
      <w:marBottom w:val="0"/>
      <w:divBdr>
        <w:top w:val="none" w:sz="0" w:space="0" w:color="auto"/>
        <w:left w:val="none" w:sz="0" w:space="0" w:color="auto"/>
        <w:bottom w:val="none" w:sz="0" w:space="0" w:color="auto"/>
        <w:right w:val="none" w:sz="0" w:space="0" w:color="auto"/>
      </w:divBdr>
    </w:div>
    <w:div w:id="601307648">
      <w:bodyDiv w:val="1"/>
      <w:marLeft w:val="0"/>
      <w:marRight w:val="0"/>
      <w:marTop w:val="0"/>
      <w:marBottom w:val="0"/>
      <w:divBdr>
        <w:top w:val="none" w:sz="0" w:space="0" w:color="auto"/>
        <w:left w:val="none" w:sz="0" w:space="0" w:color="auto"/>
        <w:bottom w:val="none" w:sz="0" w:space="0" w:color="auto"/>
        <w:right w:val="none" w:sz="0" w:space="0" w:color="auto"/>
      </w:divBdr>
    </w:div>
    <w:div w:id="602765380">
      <w:bodyDiv w:val="1"/>
      <w:marLeft w:val="0"/>
      <w:marRight w:val="0"/>
      <w:marTop w:val="0"/>
      <w:marBottom w:val="0"/>
      <w:divBdr>
        <w:top w:val="none" w:sz="0" w:space="0" w:color="auto"/>
        <w:left w:val="none" w:sz="0" w:space="0" w:color="auto"/>
        <w:bottom w:val="none" w:sz="0" w:space="0" w:color="auto"/>
        <w:right w:val="none" w:sz="0" w:space="0" w:color="auto"/>
      </w:divBdr>
    </w:div>
    <w:div w:id="603268091">
      <w:bodyDiv w:val="1"/>
      <w:marLeft w:val="0"/>
      <w:marRight w:val="0"/>
      <w:marTop w:val="0"/>
      <w:marBottom w:val="0"/>
      <w:divBdr>
        <w:top w:val="none" w:sz="0" w:space="0" w:color="auto"/>
        <w:left w:val="none" w:sz="0" w:space="0" w:color="auto"/>
        <w:bottom w:val="none" w:sz="0" w:space="0" w:color="auto"/>
        <w:right w:val="none" w:sz="0" w:space="0" w:color="auto"/>
      </w:divBdr>
    </w:div>
    <w:div w:id="613026599">
      <w:bodyDiv w:val="1"/>
      <w:marLeft w:val="0"/>
      <w:marRight w:val="0"/>
      <w:marTop w:val="0"/>
      <w:marBottom w:val="0"/>
      <w:divBdr>
        <w:top w:val="none" w:sz="0" w:space="0" w:color="auto"/>
        <w:left w:val="none" w:sz="0" w:space="0" w:color="auto"/>
        <w:bottom w:val="none" w:sz="0" w:space="0" w:color="auto"/>
        <w:right w:val="none" w:sz="0" w:space="0" w:color="auto"/>
      </w:divBdr>
    </w:div>
    <w:div w:id="636304662">
      <w:bodyDiv w:val="1"/>
      <w:marLeft w:val="0"/>
      <w:marRight w:val="0"/>
      <w:marTop w:val="0"/>
      <w:marBottom w:val="0"/>
      <w:divBdr>
        <w:top w:val="none" w:sz="0" w:space="0" w:color="auto"/>
        <w:left w:val="none" w:sz="0" w:space="0" w:color="auto"/>
        <w:bottom w:val="none" w:sz="0" w:space="0" w:color="auto"/>
        <w:right w:val="none" w:sz="0" w:space="0" w:color="auto"/>
      </w:divBdr>
    </w:div>
    <w:div w:id="659121803">
      <w:bodyDiv w:val="1"/>
      <w:marLeft w:val="0"/>
      <w:marRight w:val="0"/>
      <w:marTop w:val="0"/>
      <w:marBottom w:val="0"/>
      <w:divBdr>
        <w:top w:val="none" w:sz="0" w:space="0" w:color="auto"/>
        <w:left w:val="none" w:sz="0" w:space="0" w:color="auto"/>
        <w:bottom w:val="none" w:sz="0" w:space="0" w:color="auto"/>
        <w:right w:val="none" w:sz="0" w:space="0" w:color="auto"/>
      </w:divBdr>
    </w:div>
    <w:div w:id="699286072">
      <w:bodyDiv w:val="1"/>
      <w:marLeft w:val="0"/>
      <w:marRight w:val="0"/>
      <w:marTop w:val="0"/>
      <w:marBottom w:val="0"/>
      <w:divBdr>
        <w:top w:val="none" w:sz="0" w:space="0" w:color="auto"/>
        <w:left w:val="none" w:sz="0" w:space="0" w:color="auto"/>
        <w:bottom w:val="none" w:sz="0" w:space="0" w:color="auto"/>
        <w:right w:val="none" w:sz="0" w:space="0" w:color="auto"/>
      </w:divBdr>
    </w:div>
    <w:div w:id="699551823">
      <w:bodyDiv w:val="1"/>
      <w:marLeft w:val="0"/>
      <w:marRight w:val="0"/>
      <w:marTop w:val="0"/>
      <w:marBottom w:val="0"/>
      <w:divBdr>
        <w:top w:val="none" w:sz="0" w:space="0" w:color="auto"/>
        <w:left w:val="none" w:sz="0" w:space="0" w:color="auto"/>
        <w:bottom w:val="none" w:sz="0" w:space="0" w:color="auto"/>
        <w:right w:val="none" w:sz="0" w:space="0" w:color="auto"/>
      </w:divBdr>
    </w:div>
    <w:div w:id="699864152">
      <w:bodyDiv w:val="1"/>
      <w:marLeft w:val="0"/>
      <w:marRight w:val="0"/>
      <w:marTop w:val="0"/>
      <w:marBottom w:val="0"/>
      <w:divBdr>
        <w:top w:val="none" w:sz="0" w:space="0" w:color="auto"/>
        <w:left w:val="none" w:sz="0" w:space="0" w:color="auto"/>
        <w:bottom w:val="none" w:sz="0" w:space="0" w:color="auto"/>
        <w:right w:val="none" w:sz="0" w:space="0" w:color="auto"/>
      </w:divBdr>
    </w:div>
    <w:div w:id="732433594">
      <w:bodyDiv w:val="1"/>
      <w:marLeft w:val="0"/>
      <w:marRight w:val="0"/>
      <w:marTop w:val="0"/>
      <w:marBottom w:val="0"/>
      <w:divBdr>
        <w:top w:val="none" w:sz="0" w:space="0" w:color="auto"/>
        <w:left w:val="none" w:sz="0" w:space="0" w:color="auto"/>
        <w:bottom w:val="none" w:sz="0" w:space="0" w:color="auto"/>
        <w:right w:val="none" w:sz="0" w:space="0" w:color="auto"/>
      </w:divBdr>
    </w:div>
    <w:div w:id="737439505">
      <w:bodyDiv w:val="1"/>
      <w:marLeft w:val="0"/>
      <w:marRight w:val="0"/>
      <w:marTop w:val="0"/>
      <w:marBottom w:val="0"/>
      <w:divBdr>
        <w:top w:val="none" w:sz="0" w:space="0" w:color="auto"/>
        <w:left w:val="none" w:sz="0" w:space="0" w:color="auto"/>
        <w:bottom w:val="none" w:sz="0" w:space="0" w:color="auto"/>
        <w:right w:val="none" w:sz="0" w:space="0" w:color="auto"/>
      </w:divBdr>
    </w:div>
    <w:div w:id="785079143">
      <w:bodyDiv w:val="1"/>
      <w:marLeft w:val="0"/>
      <w:marRight w:val="0"/>
      <w:marTop w:val="0"/>
      <w:marBottom w:val="0"/>
      <w:divBdr>
        <w:top w:val="none" w:sz="0" w:space="0" w:color="auto"/>
        <w:left w:val="none" w:sz="0" w:space="0" w:color="auto"/>
        <w:bottom w:val="none" w:sz="0" w:space="0" w:color="auto"/>
        <w:right w:val="none" w:sz="0" w:space="0" w:color="auto"/>
      </w:divBdr>
    </w:div>
    <w:div w:id="797573855">
      <w:bodyDiv w:val="1"/>
      <w:marLeft w:val="0"/>
      <w:marRight w:val="0"/>
      <w:marTop w:val="0"/>
      <w:marBottom w:val="0"/>
      <w:divBdr>
        <w:top w:val="none" w:sz="0" w:space="0" w:color="auto"/>
        <w:left w:val="none" w:sz="0" w:space="0" w:color="auto"/>
        <w:bottom w:val="none" w:sz="0" w:space="0" w:color="auto"/>
        <w:right w:val="none" w:sz="0" w:space="0" w:color="auto"/>
      </w:divBdr>
    </w:div>
    <w:div w:id="807361296">
      <w:bodyDiv w:val="1"/>
      <w:marLeft w:val="0"/>
      <w:marRight w:val="0"/>
      <w:marTop w:val="0"/>
      <w:marBottom w:val="0"/>
      <w:divBdr>
        <w:top w:val="none" w:sz="0" w:space="0" w:color="auto"/>
        <w:left w:val="none" w:sz="0" w:space="0" w:color="auto"/>
        <w:bottom w:val="none" w:sz="0" w:space="0" w:color="auto"/>
        <w:right w:val="none" w:sz="0" w:space="0" w:color="auto"/>
      </w:divBdr>
    </w:div>
    <w:div w:id="807475546">
      <w:bodyDiv w:val="1"/>
      <w:marLeft w:val="0"/>
      <w:marRight w:val="0"/>
      <w:marTop w:val="0"/>
      <w:marBottom w:val="0"/>
      <w:divBdr>
        <w:top w:val="none" w:sz="0" w:space="0" w:color="auto"/>
        <w:left w:val="none" w:sz="0" w:space="0" w:color="auto"/>
        <w:bottom w:val="none" w:sz="0" w:space="0" w:color="auto"/>
        <w:right w:val="none" w:sz="0" w:space="0" w:color="auto"/>
      </w:divBdr>
    </w:div>
    <w:div w:id="812983708">
      <w:bodyDiv w:val="1"/>
      <w:marLeft w:val="0"/>
      <w:marRight w:val="0"/>
      <w:marTop w:val="0"/>
      <w:marBottom w:val="0"/>
      <w:divBdr>
        <w:top w:val="none" w:sz="0" w:space="0" w:color="auto"/>
        <w:left w:val="none" w:sz="0" w:space="0" w:color="auto"/>
        <w:bottom w:val="none" w:sz="0" w:space="0" w:color="auto"/>
        <w:right w:val="none" w:sz="0" w:space="0" w:color="auto"/>
      </w:divBdr>
    </w:div>
    <w:div w:id="817065531">
      <w:bodyDiv w:val="1"/>
      <w:marLeft w:val="0"/>
      <w:marRight w:val="0"/>
      <w:marTop w:val="0"/>
      <w:marBottom w:val="0"/>
      <w:divBdr>
        <w:top w:val="none" w:sz="0" w:space="0" w:color="auto"/>
        <w:left w:val="none" w:sz="0" w:space="0" w:color="auto"/>
        <w:bottom w:val="none" w:sz="0" w:space="0" w:color="auto"/>
        <w:right w:val="none" w:sz="0" w:space="0" w:color="auto"/>
      </w:divBdr>
    </w:div>
    <w:div w:id="826089063">
      <w:bodyDiv w:val="1"/>
      <w:marLeft w:val="0"/>
      <w:marRight w:val="0"/>
      <w:marTop w:val="0"/>
      <w:marBottom w:val="0"/>
      <w:divBdr>
        <w:top w:val="none" w:sz="0" w:space="0" w:color="auto"/>
        <w:left w:val="none" w:sz="0" w:space="0" w:color="auto"/>
        <w:bottom w:val="none" w:sz="0" w:space="0" w:color="auto"/>
        <w:right w:val="none" w:sz="0" w:space="0" w:color="auto"/>
      </w:divBdr>
    </w:div>
    <w:div w:id="830802137">
      <w:bodyDiv w:val="1"/>
      <w:marLeft w:val="0"/>
      <w:marRight w:val="0"/>
      <w:marTop w:val="0"/>
      <w:marBottom w:val="0"/>
      <w:divBdr>
        <w:top w:val="none" w:sz="0" w:space="0" w:color="auto"/>
        <w:left w:val="none" w:sz="0" w:space="0" w:color="auto"/>
        <w:bottom w:val="none" w:sz="0" w:space="0" w:color="auto"/>
        <w:right w:val="none" w:sz="0" w:space="0" w:color="auto"/>
      </w:divBdr>
    </w:div>
    <w:div w:id="851529728">
      <w:bodyDiv w:val="1"/>
      <w:marLeft w:val="0"/>
      <w:marRight w:val="0"/>
      <w:marTop w:val="0"/>
      <w:marBottom w:val="0"/>
      <w:divBdr>
        <w:top w:val="none" w:sz="0" w:space="0" w:color="auto"/>
        <w:left w:val="none" w:sz="0" w:space="0" w:color="auto"/>
        <w:bottom w:val="none" w:sz="0" w:space="0" w:color="auto"/>
        <w:right w:val="none" w:sz="0" w:space="0" w:color="auto"/>
      </w:divBdr>
    </w:div>
    <w:div w:id="870458950">
      <w:bodyDiv w:val="1"/>
      <w:marLeft w:val="0"/>
      <w:marRight w:val="0"/>
      <w:marTop w:val="0"/>
      <w:marBottom w:val="0"/>
      <w:divBdr>
        <w:top w:val="none" w:sz="0" w:space="0" w:color="auto"/>
        <w:left w:val="none" w:sz="0" w:space="0" w:color="auto"/>
        <w:bottom w:val="none" w:sz="0" w:space="0" w:color="auto"/>
        <w:right w:val="none" w:sz="0" w:space="0" w:color="auto"/>
      </w:divBdr>
    </w:div>
    <w:div w:id="871460081">
      <w:bodyDiv w:val="1"/>
      <w:marLeft w:val="0"/>
      <w:marRight w:val="0"/>
      <w:marTop w:val="0"/>
      <w:marBottom w:val="0"/>
      <w:divBdr>
        <w:top w:val="none" w:sz="0" w:space="0" w:color="auto"/>
        <w:left w:val="none" w:sz="0" w:space="0" w:color="auto"/>
        <w:bottom w:val="none" w:sz="0" w:space="0" w:color="auto"/>
        <w:right w:val="none" w:sz="0" w:space="0" w:color="auto"/>
      </w:divBdr>
    </w:div>
    <w:div w:id="877232011">
      <w:bodyDiv w:val="1"/>
      <w:marLeft w:val="0"/>
      <w:marRight w:val="0"/>
      <w:marTop w:val="0"/>
      <w:marBottom w:val="0"/>
      <w:divBdr>
        <w:top w:val="none" w:sz="0" w:space="0" w:color="auto"/>
        <w:left w:val="none" w:sz="0" w:space="0" w:color="auto"/>
        <w:bottom w:val="none" w:sz="0" w:space="0" w:color="auto"/>
        <w:right w:val="none" w:sz="0" w:space="0" w:color="auto"/>
      </w:divBdr>
    </w:div>
    <w:div w:id="886919890">
      <w:bodyDiv w:val="1"/>
      <w:marLeft w:val="0"/>
      <w:marRight w:val="0"/>
      <w:marTop w:val="0"/>
      <w:marBottom w:val="0"/>
      <w:divBdr>
        <w:top w:val="none" w:sz="0" w:space="0" w:color="auto"/>
        <w:left w:val="none" w:sz="0" w:space="0" w:color="auto"/>
        <w:bottom w:val="none" w:sz="0" w:space="0" w:color="auto"/>
        <w:right w:val="none" w:sz="0" w:space="0" w:color="auto"/>
      </w:divBdr>
    </w:div>
    <w:div w:id="903687421">
      <w:bodyDiv w:val="1"/>
      <w:marLeft w:val="0"/>
      <w:marRight w:val="0"/>
      <w:marTop w:val="0"/>
      <w:marBottom w:val="0"/>
      <w:divBdr>
        <w:top w:val="none" w:sz="0" w:space="0" w:color="auto"/>
        <w:left w:val="none" w:sz="0" w:space="0" w:color="auto"/>
        <w:bottom w:val="none" w:sz="0" w:space="0" w:color="auto"/>
        <w:right w:val="none" w:sz="0" w:space="0" w:color="auto"/>
      </w:divBdr>
    </w:div>
    <w:div w:id="919291600">
      <w:bodyDiv w:val="1"/>
      <w:marLeft w:val="0"/>
      <w:marRight w:val="0"/>
      <w:marTop w:val="0"/>
      <w:marBottom w:val="0"/>
      <w:divBdr>
        <w:top w:val="none" w:sz="0" w:space="0" w:color="auto"/>
        <w:left w:val="none" w:sz="0" w:space="0" w:color="auto"/>
        <w:bottom w:val="none" w:sz="0" w:space="0" w:color="auto"/>
        <w:right w:val="none" w:sz="0" w:space="0" w:color="auto"/>
      </w:divBdr>
    </w:div>
    <w:div w:id="946617083">
      <w:bodyDiv w:val="1"/>
      <w:marLeft w:val="0"/>
      <w:marRight w:val="0"/>
      <w:marTop w:val="0"/>
      <w:marBottom w:val="0"/>
      <w:divBdr>
        <w:top w:val="none" w:sz="0" w:space="0" w:color="auto"/>
        <w:left w:val="none" w:sz="0" w:space="0" w:color="auto"/>
        <w:bottom w:val="none" w:sz="0" w:space="0" w:color="auto"/>
        <w:right w:val="none" w:sz="0" w:space="0" w:color="auto"/>
      </w:divBdr>
    </w:div>
    <w:div w:id="963540204">
      <w:bodyDiv w:val="1"/>
      <w:marLeft w:val="0"/>
      <w:marRight w:val="0"/>
      <w:marTop w:val="0"/>
      <w:marBottom w:val="0"/>
      <w:divBdr>
        <w:top w:val="none" w:sz="0" w:space="0" w:color="auto"/>
        <w:left w:val="none" w:sz="0" w:space="0" w:color="auto"/>
        <w:bottom w:val="none" w:sz="0" w:space="0" w:color="auto"/>
        <w:right w:val="none" w:sz="0" w:space="0" w:color="auto"/>
      </w:divBdr>
    </w:div>
    <w:div w:id="976493894">
      <w:bodyDiv w:val="1"/>
      <w:marLeft w:val="0"/>
      <w:marRight w:val="0"/>
      <w:marTop w:val="0"/>
      <w:marBottom w:val="0"/>
      <w:divBdr>
        <w:top w:val="none" w:sz="0" w:space="0" w:color="auto"/>
        <w:left w:val="none" w:sz="0" w:space="0" w:color="auto"/>
        <w:bottom w:val="none" w:sz="0" w:space="0" w:color="auto"/>
        <w:right w:val="none" w:sz="0" w:space="0" w:color="auto"/>
      </w:divBdr>
    </w:div>
    <w:div w:id="1010257227">
      <w:bodyDiv w:val="1"/>
      <w:marLeft w:val="0"/>
      <w:marRight w:val="0"/>
      <w:marTop w:val="0"/>
      <w:marBottom w:val="0"/>
      <w:divBdr>
        <w:top w:val="none" w:sz="0" w:space="0" w:color="auto"/>
        <w:left w:val="none" w:sz="0" w:space="0" w:color="auto"/>
        <w:bottom w:val="none" w:sz="0" w:space="0" w:color="auto"/>
        <w:right w:val="none" w:sz="0" w:space="0" w:color="auto"/>
      </w:divBdr>
    </w:div>
    <w:div w:id="1023239800">
      <w:bodyDiv w:val="1"/>
      <w:marLeft w:val="0"/>
      <w:marRight w:val="0"/>
      <w:marTop w:val="0"/>
      <w:marBottom w:val="0"/>
      <w:divBdr>
        <w:top w:val="none" w:sz="0" w:space="0" w:color="auto"/>
        <w:left w:val="none" w:sz="0" w:space="0" w:color="auto"/>
        <w:bottom w:val="none" w:sz="0" w:space="0" w:color="auto"/>
        <w:right w:val="none" w:sz="0" w:space="0" w:color="auto"/>
      </w:divBdr>
    </w:div>
    <w:div w:id="1045182190">
      <w:bodyDiv w:val="1"/>
      <w:marLeft w:val="0"/>
      <w:marRight w:val="0"/>
      <w:marTop w:val="0"/>
      <w:marBottom w:val="0"/>
      <w:divBdr>
        <w:top w:val="none" w:sz="0" w:space="0" w:color="auto"/>
        <w:left w:val="none" w:sz="0" w:space="0" w:color="auto"/>
        <w:bottom w:val="none" w:sz="0" w:space="0" w:color="auto"/>
        <w:right w:val="none" w:sz="0" w:space="0" w:color="auto"/>
      </w:divBdr>
    </w:div>
    <w:div w:id="1052465023">
      <w:bodyDiv w:val="1"/>
      <w:marLeft w:val="0"/>
      <w:marRight w:val="0"/>
      <w:marTop w:val="0"/>
      <w:marBottom w:val="0"/>
      <w:divBdr>
        <w:top w:val="none" w:sz="0" w:space="0" w:color="auto"/>
        <w:left w:val="none" w:sz="0" w:space="0" w:color="auto"/>
        <w:bottom w:val="none" w:sz="0" w:space="0" w:color="auto"/>
        <w:right w:val="none" w:sz="0" w:space="0" w:color="auto"/>
      </w:divBdr>
    </w:div>
    <w:div w:id="1091509155">
      <w:bodyDiv w:val="1"/>
      <w:marLeft w:val="0"/>
      <w:marRight w:val="0"/>
      <w:marTop w:val="0"/>
      <w:marBottom w:val="0"/>
      <w:divBdr>
        <w:top w:val="none" w:sz="0" w:space="0" w:color="auto"/>
        <w:left w:val="none" w:sz="0" w:space="0" w:color="auto"/>
        <w:bottom w:val="none" w:sz="0" w:space="0" w:color="auto"/>
        <w:right w:val="none" w:sz="0" w:space="0" w:color="auto"/>
      </w:divBdr>
    </w:div>
    <w:div w:id="1096172571">
      <w:bodyDiv w:val="1"/>
      <w:marLeft w:val="0"/>
      <w:marRight w:val="0"/>
      <w:marTop w:val="0"/>
      <w:marBottom w:val="0"/>
      <w:divBdr>
        <w:top w:val="none" w:sz="0" w:space="0" w:color="auto"/>
        <w:left w:val="none" w:sz="0" w:space="0" w:color="auto"/>
        <w:bottom w:val="none" w:sz="0" w:space="0" w:color="auto"/>
        <w:right w:val="none" w:sz="0" w:space="0" w:color="auto"/>
      </w:divBdr>
    </w:div>
    <w:div w:id="1115561070">
      <w:bodyDiv w:val="1"/>
      <w:marLeft w:val="0"/>
      <w:marRight w:val="0"/>
      <w:marTop w:val="0"/>
      <w:marBottom w:val="0"/>
      <w:divBdr>
        <w:top w:val="none" w:sz="0" w:space="0" w:color="auto"/>
        <w:left w:val="none" w:sz="0" w:space="0" w:color="auto"/>
        <w:bottom w:val="none" w:sz="0" w:space="0" w:color="auto"/>
        <w:right w:val="none" w:sz="0" w:space="0" w:color="auto"/>
      </w:divBdr>
    </w:div>
    <w:div w:id="1126237106">
      <w:bodyDiv w:val="1"/>
      <w:marLeft w:val="0"/>
      <w:marRight w:val="0"/>
      <w:marTop w:val="0"/>
      <w:marBottom w:val="0"/>
      <w:divBdr>
        <w:top w:val="none" w:sz="0" w:space="0" w:color="auto"/>
        <w:left w:val="none" w:sz="0" w:space="0" w:color="auto"/>
        <w:bottom w:val="none" w:sz="0" w:space="0" w:color="auto"/>
        <w:right w:val="none" w:sz="0" w:space="0" w:color="auto"/>
      </w:divBdr>
    </w:div>
    <w:div w:id="1149176641">
      <w:bodyDiv w:val="1"/>
      <w:marLeft w:val="0"/>
      <w:marRight w:val="0"/>
      <w:marTop w:val="0"/>
      <w:marBottom w:val="0"/>
      <w:divBdr>
        <w:top w:val="none" w:sz="0" w:space="0" w:color="auto"/>
        <w:left w:val="none" w:sz="0" w:space="0" w:color="auto"/>
        <w:bottom w:val="none" w:sz="0" w:space="0" w:color="auto"/>
        <w:right w:val="none" w:sz="0" w:space="0" w:color="auto"/>
      </w:divBdr>
    </w:div>
    <w:div w:id="1160852386">
      <w:bodyDiv w:val="1"/>
      <w:marLeft w:val="0"/>
      <w:marRight w:val="0"/>
      <w:marTop w:val="0"/>
      <w:marBottom w:val="0"/>
      <w:divBdr>
        <w:top w:val="none" w:sz="0" w:space="0" w:color="auto"/>
        <w:left w:val="none" w:sz="0" w:space="0" w:color="auto"/>
        <w:bottom w:val="none" w:sz="0" w:space="0" w:color="auto"/>
        <w:right w:val="none" w:sz="0" w:space="0" w:color="auto"/>
      </w:divBdr>
    </w:div>
    <w:div w:id="1180199079">
      <w:bodyDiv w:val="1"/>
      <w:marLeft w:val="0"/>
      <w:marRight w:val="0"/>
      <w:marTop w:val="0"/>
      <w:marBottom w:val="0"/>
      <w:divBdr>
        <w:top w:val="none" w:sz="0" w:space="0" w:color="auto"/>
        <w:left w:val="none" w:sz="0" w:space="0" w:color="auto"/>
        <w:bottom w:val="none" w:sz="0" w:space="0" w:color="auto"/>
        <w:right w:val="none" w:sz="0" w:space="0" w:color="auto"/>
      </w:divBdr>
    </w:div>
    <w:div w:id="1192763707">
      <w:bodyDiv w:val="1"/>
      <w:marLeft w:val="0"/>
      <w:marRight w:val="0"/>
      <w:marTop w:val="0"/>
      <w:marBottom w:val="0"/>
      <w:divBdr>
        <w:top w:val="none" w:sz="0" w:space="0" w:color="auto"/>
        <w:left w:val="none" w:sz="0" w:space="0" w:color="auto"/>
        <w:bottom w:val="none" w:sz="0" w:space="0" w:color="auto"/>
        <w:right w:val="none" w:sz="0" w:space="0" w:color="auto"/>
      </w:divBdr>
    </w:div>
    <w:div w:id="1197503975">
      <w:bodyDiv w:val="1"/>
      <w:marLeft w:val="0"/>
      <w:marRight w:val="0"/>
      <w:marTop w:val="0"/>
      <w:marBottom w:val="0"/>
      <w:divBdr>
        <w:top w:val="none" w:sz="0" w:space="0" w:color="auto"/>
        <w:left w:val="none" w:sz="0" w:space="0" w:color="auto"/>
        <w:bottom w:val="none" w:sz="0" w:space="0" w:color="auto"/>
        <w:right w:val="none" w:sz="0" w:space="0" w:color="auto"/>
      </w:divBdr>
    </w:div>
    <w:div w:id="1201747974">
      <w:bodyDiv w:val="1"/>
      <w:marLeft w:val="0"/>
      <w:marRight w:val="0"/>
      <w:marTop w:val="0"/>
      <w:marBottom w:val="0"/>
      <w:divBdr>
        <w:top w:val="none" w:sz="0" w:space="0" w:color="auto"/>
        <w:left w:val="none" w:sz="0" w:space="0" w:color="auto"/>
        <w:bottom w:val="none" w:sz="0" w:space="0" w:color="auto"/>
        <w:right w:val="none" w:sz="0" w:space="0" w:color="auto"/>
      </w:divBdr>
    </w:div>
    <w:div w:id="1217232794">
      <w:bodyDiv w:val="1"/>
      <w:marLeft w:val="0"/>
      <w:marRight w:val="0"/>
      <w:marTop w:val="0"/>
      <w:marBottom w:val="0"/>
      <w:divBdr>
        <w:top w:val="none" w:sz="0" w:space="0" w:color="auto"/>
        <w:left w:val="none" w:sz="0" w:space="0" w:color="auto"/>
        <w:bottom w:val="none" w:sz="0" w:space="0" w:color="auto"/>
        <w:right w:val="none" w:sz="0" w:space="0" w:color="auto"/>
      </w:divBdr>
    </w:div>
    <w:div w:id="1220941711">
      <w:bodyDiv w:val="1"/>
      <w:marLeft w:val="0"/>
      <w:marRight w:val="0"/>
      <w:marTop w:val="0"/>
      <w:marBottom w:val="0"/>
      <w:divBdr>
        <w:top w:val="none" w:sz="0" w:space="0" w:color="auto"/>
        <w:left w:val="none" w:sz="0" w:space="0" w:color="auto"/>
        <w:bottom w:val="none" w:sz="0" w:space="0" w:color="auto"/>
        <w:right w:val="none" w:sz="0" w:space="0" w:color="auto"/>
      </w:divBdr>
    </w:div>
    <w:div w:id="1221095220">
      <w:bodyDiv w:val="1"/>
      <w:marLeft w:val="0"/>
      <w:marRight w:val="0"/>
      <w:marTop w:val="0"/>
      <w:marBottom w:val="0"/>
      <w:divBdr>
        <w:top w:val="none" w:sz="0" w:space="0" w:color="auto"/>
        <w:left w:val="none" w:sz="0" w:space="0" w:color="auto"/>
        <w:bottom w:val="none" w:sz="0" w:space="0" w:color="auto"/>
        <w:right w:val="none" w:sz="0" w:space="0" w:color="auto"/>
      </w:divBdr>
    </w:div>
    <w:div w:id="1235775761">
      <w:bodyDiv w:val="1"/>
      <w:marLeft w:val="0"/>
      <w:marRight w:val="0"/>
      <w:marTop w:val="0"/>
      <w:marBottom w:val="0"/>
      <w:divBdr>
        <w:top w:val="none" w:sz="0" w:space="0" w:color="auto"/>
        <w:left w:val="none" w:sz="0" w:space="0" w:color="auto"/>
        <w:bottom w:val="none" w:sz="0" w:space="0" w:color="auto"/>
        <w:right w:val="none" w:sz="0" w:space="0" w:color="auto"/>
      </w:divBdr>
    </w:div>
    <w:div w:id="1255817865">
      <w:bodyDiv w:val="1"/>
      <w:marLeft w:val="0"/>
      <w:marRight w:val="0"/>
      <w:marTop w:val="0"/>
      <w:marBottom w:val="0"/>
      <w:divBdr>
        <w:top w:val="none" w:sz="0" w:space="0" w:color="auto"/>
        <w:left w:val="none" w:sz="0" w:space="0" w:color="auto"/>
        <w:bottom w:val="none" w:sz="0" w:space="0" w:color="auto"/>
        <w:right w:val="none" w:sz="0" w:space="0" w:color="auto"/>
      </w:divBdr>
    </w:div>
    <w:div w:id="1264151120">
      <w:bodyDiv w:val="1"/>
      <w:marLeft w:val="0"/>
      <w:marRight w:val="0"/>
      <w:marTop w:val="0"/>
      <w:marBottom w:val="0"/>
      <w:divBdr>
        <w:top w:val="none" w:sz="0" w:space="0" w:color="auto"/>
        <w:left w:val="none" w:sz="0" w:space="0" w:color="auto"/>
        <w:bottom w:val="none" w:sz="0" w:space="0" w:color="auto"/>
        <w:right w:val="none" w:sz="0" w:space="0" w:color="auto"/>
      </w:divBdr>
    </w:div>
    <w:div w:id="1269699514">
      <w:bodyDiv w:val="1"/>
      <w:marLeft w:val="0"/>
      <w:marRight w:val="0"/>
      <w:marTop w:val="0"/>
      <w:marBottom w:val="0"/>
      <w:divBdr>
        <w:top w:val="none" w:sz="0" w:space="0" w:color="auto"/>
        <w:left w:val="none" w:sz="0" w:space="0" w:color="auto"/>
        <w:bottom w:val="none" w:sz="0" w:space="0" w:color="auto"/>
        <w:right w:val="none" w:sz="0" w:space="0" w:color="auto"/>
      </w:divBdr>
    </w:div>
    <w:div w:id="1301378680">
      <w:bodyDiv w:val="1"/>
      <w:marLeft w:val="0"/>
      <w:marRight w:val="0"/>
      <w:marTop w:val="0"/>
      <w:marBottom w:val="0"/>
      <w:divBdr>
        <w:top w:val="none" w:sz="0" w:space="0" w:color="auto"/>
        <w:left w:val="none" w:sz="0" w:space="0" w:color="auto"/>
        <w:bottom w:val="none" w:sz="0" w:space="0" w:color="auto"/>
        <w:right w:val="none" w:sz="0" w:space="0" w:color="auto"/>
      </w:divBdr>
    </w:div>
    <w:div w:id="1301574663">
      <w:bodyDiv w:val="1"/>
      <w:marLeft w:val="0"/>
      <w:marRight w:val="0"/>
      <w:marTop w:val="0"/>
      <w:marBottom w:val="0"/>
      <w:divBdr>
        <w:top w:val="none" w:sz="0" w:space="0" w:color="auto"/>
        <w:left w:val="none" w:sz="0" w:space="0" w:color="auto"/>
        <w:bottom w:val="none" w:sz="0" w:space="0" w:color="auto"/>
        <w:right w:val="none" w:sz="0" w:space="0" w:color="auto"/>
      </w:divBdr>
    </w:div>
    <w:div w:id="1320235571">
      <w:bodyDiv w:val="1"/>
      <w:marLeft w:val="0"/>
      <w:marRight w:val="0"/>
      <w:marTop w:val="0"/>
      <w:marBottom w:val="0"/>
      <w:divBdr>
        <w:top w:val="none" w:sz="0" w:space="0" w:color="auto"/>
        <w:left w:val="none" w:sz="0" w:space="0" w:color="auto"/>
        <w:bottom w:val="none" w:sz="0" w:space="0" w:color="auto"/>
        <w:right w:val="none" w:sz="0" w:space="0" w:color="auto"/>
      </w:divBdr>
    </w:div>
    <w:div w:id="1327706150">
      <w:bodyDiv w:val="1"/>
      <w:marLeft w:val="0"/>
      <w:marRight w:val="0"/>
      <w:marTop w:val="0"/>
      <w:marBottom w:val="0"/>
      <w:divBdr>
        <w:top w:val="none" w:sz="0" w:space="0" w:color="auto"/>
        <w:left w:val="none" w:sz="0" w:space="0" w:color="auto"/>
        <w:bottom w:val="none" w:sz="0" w:space="0" w:color="auto"/>
        <w:right w:val="none" w:sz="0" w:space="0" w:color="auto"/>
      </w:divBdr>
    </w:div>
    <w:div w:id="1329015459">
      <w:bodyDiv w:val="1"/>
      <w:marLeft w:val="0"/>
      <w:marRight w:val="0"/>
      <w:marTop w:val="0"/>
      <w:marBottom w:val="0"/>
      <w:divBdr>
        <w:top w:val="none" w:sz="0" w:space="0" w:color="auto"/>
        <w:left w:val="none" w:sz="0" w:space="0" w:color="auto"/>
        <w:bottom w:val="none" w:sz="0" w:space="0" w:color="auto"/>
        <w:right w:val="none" w:sz="0" w:space="0" w:color="auto"/>
      </w:divBdr>
      <w:divsChild>
        <w:div w:id="474572352">
          <w:marLeft w:val="0"/>
          <w:marRight w:val="0"/>
          <w:marTop w:val="0"/>
          <w:marBottom w:val="0"/>
          <w:divBdr>
            <w:top w:val="none" w:sz="0" w:space="0" w:color="auto"/>
            <w:left w:val="none" w:sz="0" w:space="0" w:color="auto"/>
            <w:bottom w:val="none" w:sz="0" w:space="0" w:color="auto"/>
            <w:right w:val="none" w:sz="0" w:space="0" w:color="auto"/>
          </w:divBdr>
          <w:divsChild>
            <w:div w:id="586110175">
              <w:marLeft w:val="0"/>
              <w:marRight w:val="0"/>
              <w:marTop w:val="0"/>
              <w:marBottom w:val="0"/>
              <w:divBdr>
                <w:top w:val="none" w:sz="0" w:space="0" w:color="auto"/>
                <w:left w:val="none" w:sz="0" w:space="0" w:color="auto"/>
                <w:bottom w:val="none" w:sz="0" w:space="0" w:color="auto"/>
                <w:right w:val="none" w:sz="0" w:space="0" w:color="auto"/>
              </w:divBdr>
            </w:div>
            <w:div w:id="588662020">
              <w:marLeft w:val="0"/>
              <w:marRight w:val="0"/>
              <w:marTop w:val="0"/>
              <w:marBottom w:val="0"/>
              <w:divBdr>
                <w:top w:val="none" w:sz="0" w:space="0" w:color="auto"/>
                <w:left w:val="none" w:sz="0" w:space="0" w:color="auto"/>
                <w:bottom w:val="none" w:sz="0" w:space="0" w:color="auto"/>
                <w:right w:val="none" w:sz="0" w:space="0" w:color="auto"/>
              </w:divBdr>
            </w:div>
            <w:div w:id="1091047111">
              <w:marLeft w:val="0"/>
              <w:marRight w:val="0"/>
              <w:marTop w:val="0"/>
              <w:marBottom w:val="0"/>
              <w:divBdr>
                <w:top w:val="none" w:sz="0" w:space="0" w:color="auto"/>
                <w:left w:val="none" w:sz="0" w:space="0" w:color="auto"/>
                <w:bottom w:val="none" w:sz="0" w:space="0" w:color="auto"/>
                <w:right w:val="none" w:sz="0" w:space="0" w:color="auto"/>
              </w:divBdr>
            </w:div>
            <w:div w:id="1979799596">
              <w:marLeft w:val="0"/>
              <w:marRight w:val="0"/>
              <w:marTop w:val="0"/>
              <w:marBottom w:val="0"/>
              <w:divBdr>
                <w:top w:val="none" w:sz="0" w:space="0" w:color="auto"/>
                <w:left w:val="none" w:sz="0" w:space="0" w:color="auto"/>
                <w:bottom w:val="none" w:sz="0" w:space="0" w:color="auto"/>
                <w:right w:val="none" w:sz="0" w:space="0" w:color="auto"/>
              </w:divBdr>
            </w:div>
            <w:div w:id="205288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226137">
      <w:bodyDiv w:val="1"/>
      <w:marLeft w:val="0"/>
      <w:marRight w:val="0"/>
      <w:marTop w:val="0"/>
      <w:marBottom w:val="0"/>
      <w:divBdr>
        <w:top w:val="none" w:sz="0" w:space="0" w:color="auto"/>
        <w:left w:val="none" w:sz="0" w:space="0" w:color="auto"/>
        <w:bottom w:val="none" w:sz="0" w:space="0" w:color="auto"/>
        <w:right w:val="none" w:sz="0" w:space="0" w:color="auto"/>
      </w:divBdr>
    </w:div>
    <w:div w:id="1340158154">
      <w:bodyDiv w:val="1"/>
      <w:marLeft w:val="0"/>
      <w:marRight w:val="0"/>
      <w:marTop w:val="0"/>
      <w:marBottom w:val="0"/>
      <w:divBdr>
        <w:top w:val="none" w:sz="0" w:space="0" w:color="auto"/>
        <w:left w:val="none" w:sz="0" w:space="0" w:color="auto"/>
        <w:bottom w:val="none" w:sz="0" w:space="0" w:color="auto"/>
        <w:right w:val="none" w:sz="0" w:space="0" w:color="auto"/>
      </w:divBdr>
    </w:div>
    <w:div w:id="1352535662">
      <w:bodyDiv w:val="1"/>
      <w:marLeft w:val="0"/>
      <w:marRight w:val="0"/>
      <w:marTop w:val="0"/>
      <w:marBottom w:val="0"/>
      <w:divBdr>
        <w:top w:val="none" w:sz="0" w:space="0" w:color="auto"/>
        <w:left w:val="none" w:sz="0" w:space="0" w:color="auto"/>
        <w:bottom w:val="none" w:sz="0" w:space="0" w:color="auto"/>
        <w:right w:val="none" w:sz="0" w:space="0" w:color="auto"/>
      </w:divBdr>
    </w:div>
    <w:div w:id="1376806434">
      <w:bodyDiv w:val="1"/>
      <w:marLeft w:val="0"/>
      <w:marRight w:val="0"/>
      <w:marTop w:val="0"/>
      <w:marBottom w:val="0"/>
      <w:divBdr>
        <w:top w:val="none" w:sz="0" w:space="0" w:color="auto"/>
        <w:left w:val="none" w:sz="0" w:space="0" w:color="auto"/>
        <w:bottom w:val="none" w:sz="0" w:space="0" w:color="auto"/>
        <w:right w:val="none" w:sz="0" w:space="0" w:color="auto"/>
      </w:divBdr>
    </w:div>
    <w:div w:id="1408117614">
      <w:bodyDiv w:val="1"/>
      <w:marLeft w:val="0"/>
      <w:marRight w:val="0"/>
      <w:marTop w:val="0"/>
      <w:marBottom w:val="0"/>
      <w:divBdr>
        <w:top w:val="none" w:sz="0" w:space="0" w:color="auto"/>
        <w:left w:val="none" w:sz="0" w:space="0" w:color="auto"/>
        <w:bottom w:val="none" w:sz="0" w:space="0" w:color="auto"/>
        <w:right w:val="none" w:sz="0" w:space="0" w:color="auto"/>
      </w:divBdr>
    </w:div>
    <w:div w:id="1418744230">
      <w:bodyDiv w:val="1"/>
      <w:marLeft w:val="0"/>
      <w:marRight w:val="0"/>
      <w:marTop w:val="0"/>
      <w:marBottom w:val="0"/>
      <w:divBdr>
        <w:top w:val="none" w:sz="0" w:space="0" w:color="auto"/>
        <w:left w:val="none" w:sz="0" w:space="0" w:color="auto"/>
        <w:bottom w:val="none" w:sz="0" w:space="0" w:color="auto"/>
        <w:right w:val="none" w:sz="0" w:space="0" w:color="auto"/>
      </w:divBdr>
    </w:div>
    <w:div w:id="1429080388">
      <w:bodyDiv w:val="1"/>
      <w:marLeft w:val="0"/>
      <w:marRight w:val="0"/>
      <w:marTop w:val="0"/>
      <w:marBottom w:val="0"/>
      <w:divBdr>
        <w:top w:val="none" w:sz="0" w:space="0" w:color="auto"/>
        <w:left w:val="none" w:sz="0" w:space="0" w:color="auto"/>
        <w:bottom w:val="none" w:sz="0" w:space="0" w:color="auto"/>
        <w:right w:val="none" w:sz="0" w:space="0" w:color="auto"/>
      </w:divBdr>
    </w:div>
    <w:div w:id="1450970180">
      <w:bodyDiv w:val="1"/>
      <w:marLeft w:val="0"/>
      <w:marRight w:val="0"/>
      <w:marTop w:val="0"/>
      <w:marBottom w:val="0"/>
      <w:divBdr>
        <w:top w:val="none" w:sz="0" w:space="0" w:color="auto"/>
        <w:left w:val="none" w:sz="0" w:space="0" w:color="auto"/>
        <w:bottom w:val="none" w:sz="0" w:space="0" w:color="auto"/>
        <w:right w:val="none" w:sz="0" w:space="0" w:color="auto"/>
      </w:divBdr>
    </w:div>
    <w:div w:id="1459908680">
      <w:bodyDiv w:val="1"/>
      <w:marLeft w:val="0"/>
      <w:marRight w:val="0"/>
      <w:marTop w:val="0"/>
      <w:marBottom w:val="0"/>
      <w:divBdr>
        <w:top w:val="none" w:sz="0" w:space="0" w:color="auto"/>
        <w:left w:val="none" w:sz="0" w:space="0" w:color="auto"/>
        <w:bottom w:val="none" w:sz="0" w:space="0" w:color="auto"/>
        <w:right w:val="none" w:sz="0" w:space="0" w:color="auto"/>
      </w:divBdr>
    </w:div>
    <w:div w:id="1469207335">
      <w:bodyDiv w:val="1"/>
      <w:marLeft w:val="0"/>
      <w:marRight w:val="0"/>
      <w:marTop w:val="0"/>
      <w:marBottom w:val="0"/>
      <w:divBdr>
        <w:top w:val="none" w:sz="0" w:space="0" w:color="auto"/>
        <w:left w:val="none" w:sz="0" w:space="0" w:color="auto"/>
        <w:bottom w:val="none" w:sz="0" w:space="0" w:color="auto"/>
        <w:right w:val="none" w:sz="0" w:space="0" w:color="auto"/>
      </w:divBdr>
    </w:div>
    <w:div w:id="1546719484">
      <w:bodyDiv w:val="1"/>
      <w:marLeft w:val="0"/>
      <w:marRight w:val="0"/>
      <w:marTop w:val="0"/>
      <w:marBottom w:val="0"/>
      <w:divBdr>
        <w:top w:val="none" w:sz="0" w:space="0" w:color="auto"/>
        <w:left w:val="none" w:sz="0" w:space="0" w:color="auto"/>
        <w:bottom w:val="none" w:sz="0" w:space="0" w:color="auto"/>
        <w:right w:val="none" w:sz="0" w:space="0" w:color="auto"/>
      </w:divBdr>
      <w:divsChild>
        <w:div w:id="369458154">
          <w:marLeft w:val="0"/>
          <w:marRight w:val="0"/>
          <w:marTop w:val="0"/>
          <w:marBottom w:val="0"/>
          <w:divBdr>
            <w:top w:val="none" w:sz="0" w:space="0" w:color="auto"/>
            <w:left w:val="none" w:sz="0" w:space="0" w:color="auto"/>
            <w:bottom w:val="none" w:sz="0" w:space="0" w:color="auto"/>
            <w:right w:val="none" w:sz="0" w:space="0" w:color="auto"/>
          </w:divBdr>
        </w:div>
        <w:div w:id="446587681">
          <w:marLeft w:val="0"/>
          <w:marRight w:val="0"/>
          <w:marTop w:val="0"/>
          <w:marBottom w:val="0"/>
          <w:divBdr>
            <w:top w:val="none" w:sz="0" w:space="0" w:color="auto"/>
            <w:left w:val="none" w:sz="0" w:space="0" w:color="auto"/>
            <w:bottom w:val="none" w:sz="0" w:space="0" w:color="auto"/>
            <w:right w:val="none" w:sz="0" w:space="0" w:color="auto"/>
          </w:divBdr>
        </w:div>
      </w:divsChild>
    </w:div>
    <w:div w:id="1558275720">
      <w:bodyDiv w:val="1"/>
      <w:marLeft w:val="0"/>
      <w:marRight w:val="0"/>
      <w:marTop w:val="0"/>
      <w:marBottom w:val="0"/>
      <w:divBdr>
        <w:top w:val="none" w:sz="0" w:space="0" w:color="auto"/>
        <w:left w:val="none" w:sz="0" w:space="0" w:color="auto"/>
        <w:bottom w:val="none" w:sz="0" w:space="0" w:color="auto"/>
        <w:right w:val="none" w:sz="0" w:space="0" w:color="auto"/>
      </w:divBdr>
    </w:div>
    <w:div w:id="1565486047">
      <w:bodyDiv w:val="1"/>
      <w:marLeft w:val="0"/>
      <w:marRight w:val="0"/>
      <w:marTop w:val="0"/>
      <w:marBottom w:val="0"/>
      <w:divBdr>
        <w:top w:val="none" w:sz="0" w:space="0" w:color="auto"/>
        <w:left w:val="none" w:sz="0" w:space="0" w:color="auto"/>
        <w:bottom w:val="none" w:sz="0" w:space="0" w:color="auto"/>
        <w:right w:val="none" w:sz="0" w:space="0" w:color="auto"/>
      </w:divBdr>
    </w:div>
    <w:div w:id="1574317445">
      <w:bodyDiv w:val="1"/>
      <w:marLeft w:val="0"/>
      <w:marRight w:val="0"/>
      <w:marTop w:val="0"/>
      <w:marBottom w:val="0"/>
      <w:divBdr>
        <w:top w:val="none" w:sz="0" w:space="0" w:color="auto"/>
        <w:left w:val="none" w:sz="0" w:space="0" w:color="auto"/>
        <w:bottom w:val="none" w:sz="0" w:space="0" w:color="auto"/>
        <w:right w:val="none" w:sz="0" w:space="0" w:color="auto"/>
      </w:divBdr>
    </w:div>
    <w:div w:id="1582836858">
      <w:bodyDiv w:val="1"/>
      <w:marLeft w:val="0"/>
      <w:marRight w:val="0"/>
      <w:marTop w:val="0"/>
      <w:marBottom w:val="0"/>
      <w:divBdr>
        <w:top w:val="none" w:sz="0" w:space="0" w:color="auto"/>
        <w:left w:val="none" w:sz="0" w:space="0" w:color="auto"/>
        <w:bottom w:val="none" w:sz="0" w:space="0" w:color="auto"/>
        <w:right w:val="none" w:sz="0" w:space="0" w:color="auto"/>
      </w:divBdr>
    </w:div>
    <w:div w:id="1590193529">
      <w:bodyDiv w:val="1"/>
      <w:marLeft w:val="0"/>
      <w:marRight w:val="0"/>
      <w:marTop w:val="0"/>
      <w:marBottom w:val="0"/>
      <w:divBdr>
        <w:top w:val="none" w:sz="0" w:space="0" w:color="auto"/>
        <w:left w:val="none" w:sz="0" w:space="0" w:color="auto"/>
        <w:bottom w:val="none" w:sz="0" w:space="0" w:color="auto"/>
        <w:right w:val="none" w:sz="0" w:space="0" w:color="auto"/>
      </w:divBdr>
    </w:div>
    <w:div w:id="1598516396">
      <w:bodyDiv w:val="1"/>
      <w:marLeft w:val="0"/>
      <w:marRight w:val="0"/>
      <w:marTop w:val="0"/>
      <w:marBottom w:val="0"/>
      <w:divBdr>
        <w:top w:val="none" w:sz="0" w:space="0" w:color="auto"/>
        <w:left w:val="none" w:sz="0" w:space="0" w:color="auto"/>
        <w:bottom w:val="none" w:sz="0" w:space="0" w:color="auto"/>
        <w:right w:val="none" w:sz="0" w:space="0" w:color="auto"/>
      </w:divBdr>
    </w:div>
    <w:div w:id="1637295798">
      <w:bodyDiv w:val="1"/>
      <w:marLeft w:val="0"/>
      <w:marRight w:val="0"/>
      <w:marTop w:val="0"/>
      <w:marBottom w:val="0"/>
      <w:divBdr>
        <w:top w:val="none" w:sz="0" w:space="0" w:color="auto"/>
        <w:left w:val="none" w:sz="0" w:space="0" w:color="auto"/>
        <w:bottom w:val="none" w:sz="0" w:space="0" w:color="auto"/>
        <w:right w:val="none" w:sz="0" w:space="0" w:color="auto"/>
      </w:divBdr>
    </w:div>
    <w:div w:id="1646548706">
      <w:bodyDiv w:val="1"/>
      <w:marLeft w:val="0"/>
      <w:marRight w:val="0"/>
      <w:marTop w:val="0"/>
      <w:marBottom w:val="0"/>
      <w:divBdr>
        <w:top w:val="none" w:sz="0" w:space="0" w:color="auto"/>
        <w:left w:val="none" w:sz="0" w:space="0" w:color="auto"/>
        <w:bottom w:val="none" w:sz="0" w:space="0" w:color="auto"/>
        <w:right w:val="none" w:sz="0" w:space="0" w:color="auto"/>
      </w:divBdr>
    </w:div>
    <w:div w:id="1651861804">
      <w:bodyDiv w:val="1"/>
      <w:marLeft w:val="0"/>
      <w:marRight w:val="0"/>
      <w:marTop w:val="0"/>
      <w:marBottom w:val="0"/>
      <w:divBdr>
        <w:top w:val="none" w:sz="0" w:space="0" w:color="auto"/>
        <w:left w:val="none" w:sz="0" w:space="0" w:color="auto"/>
        <w:bottom w:val="none" w:sz="0" w:space="0" w:color="auto"/>
        <w:right w:val="none" w:sz="0" w:space="0" w:color="auto"/>
      </w:divBdr>
    </w:div>
    <w:div w:id="1652296320">
      <w:bodyDiv w:val="1"/>
      <w:marLeft w:val="0"/>
      <w:marRight w:val="0"/>
      <w:marTop w:val="0"/>
      <w:marBottom w:val="0"/>
      <w:divBdr>
        <w:top w:val="none" w:sz="0" w:space="0" w:color="auto"/>
        <w:left w:val="none" w:sz="0" w:space="0" w:color="auto"/>
        <w:bottom w:val="none" w:sz="0" w:space="0" w:color="auto"/>
        <w:right w:val="none" w:sz="0" w:space="0" w:color="auto"/>
      </w:divBdr>
    </w:div>
    <w:div w:id="1656034262">
      <w:bodyDiv w:val="1"/>
      <w:marLeft w:val="0"/>
      <w:marRight w:val="0"/>
      <w:marTop w:val="0"/>
      <w:marBottom w:val="0"/>
      <w:divBdr>
        <w:top w:val="none" w:sz="0" w:space="0" w:color="auto"/>
        <w:left w:val="none" w:sz="0" w:space="0" w:color="auto"/>
        <w:bottom w:val="none" w:sz="0" w:space="0" w:color="auto"/>
        <w:right w:val="none" w:sz="0" w:space="0" w:color="auto"/>
      </w:divBdr>
    </w:div>
    <w:div w:id="1662392263">
      <w:bodyDiv w:val="1"/>
      <w:marLeft w:val="0"/>
      <w:marRight w:val="0"/>
      <w:marTop w:val="0"/>
      <w:marBottom w:val="0"/>
      <w:divBdr>
        <w:top w:val="none" w:sz="0" w:space="0" w:color="auto"/>
        <w:left w:val="none" w:sz="0" w:space="0" w:color="auto"/>
        <w:bottom w:val="none" w:sz="0" w:space="0" w:color="auto"/>
        <w:right w:val="none" w:sz="0" w:space="0" w:color="auto"/>
      </w:divBdr>
    </w:div>
    <w:div w:id="1672173224">
      <w:bodyDiv w:val="1"/>
      <w:marLeft w:val="0"/>
      <w:marRight w:val="0"/>
      <w:marTop w:val="0"/>
      <w:marBottom w:val="0"/>
      <w:divBdr>
        <w:top w:val="none" w:sz="0" w:space="0" w:color="auto"/>
        <w:left w:val="none" w:sz="0" w:space="0" w:color="auto"/>
        <w:bottom w:val="none" w:sz="0" w:space="0" w:color="auto"/>
        <w:right w:val="none" w:sz="0" w:space="0" w:color="auto"/>
      </w:divBdr>
    </w:div>
    <w:div w:id="1684823354">
      <w:bodyDiv w:val="1"/>
      <w:marLeft w:val="0"/>
      <w:marRight w:val="0"/>
      <w:marTop w:val="0"/>
      <w:marBottom w:val="0"/>
      <w:divBdr>
        <w:top w:val="none" w:sz="0" w:space="0" w:color="auto"/>
        <w:left w:val="none" w:sz="0" w:space="0" w:color="auto"/>
        <w:bottom w:val="none" w:sz="0" w:space="0" w:color="auto"/>
        <w:right w:val="none" w:sz="0" w:space="0" w:color="auto"/>
      </w:divBdr>
    </w:div>
    <w:div w:id="1710183421">
      <w:bodyDiv w:val="1"/>
      <w:marLeft w:val="0"/>
      <w:marRight w:val="0"/>
      <w:marTop w:val="0"/>
      <w:marBottom w:val="0"/>
      <w:divBdr>
        <w:top w:val="none" w:sz="0" w:space="0" w:color="auto"/>
        <w:left w:val="none" w:sz="0" w:space="0" w:color="auto"/>
        <w:bottom w:val="none" w:sz="0" w:space="0" w:color="auto"/>
        <w:right w:val="none" w:sz="0" w:space="0" w:color="auto"/>
      </w:divBdr>
    </w:div>
    <w:div w:id="1711610746">
      <w:bodyDiv w:val="1"/>
      <w:marLeft w:val="0"/>
      <w:marRight w:val="0"/>
      <w:marTop w:val="0"/>
      <w:marBottom w:val="0"/>
      <w:divBdr>
        <w:top w:val="none" w:sz="0" w:space="0" w:color="auto"/>
        <w:left w:val="none" w:sz="0" w:space="0" w:color="auto"/>
        <w:bottom w:val="none" w:sz="0" w:space="0" w:color="auto"/>
        <w:right w:val="none" w:sz="0" w:space="0" w:color="auto"/>
      </w:divBdr>
    </w:div>
    <w:div w:id="1716153931">
      <w:bodyDiv w:val="1"/>
      <w:marLeft w:val="0"/>
      <w:marRight w:val="0"/>
      <w:marTop w:val="0"/>
      <w:marBottom w:val="0"/>
      <w:divBdr>
        <w:top w:val="none" w:sz="0" w:space="0" w:color="auto"/>
        <w:left w:val="none" w:sz="0" w:space="0" w:color="auto"/>
        <w:bottom w:val="none" w:sz="0" w:space="0" w:color="auto"/>
        <w:right w:val="none" w:sz="0" w:space="0" w:color="auto"/>
      </w:divBdr>
    </w:div>
    <w:div w:id="1719820609">
      <w:bodyDiv w:val="1"/>
      <w:marLeft w:val="0"/>
      <w:marRight w:val="0"/>
      <w:marTop w:val="0"/>
      <w:marBottom w:val="0"/>
      <w:divBdr>
        <w:top w:val="none" w:sz="0" w:space="0" w:color="auto"/>
        <w:left w:val="none" w:sz="0" w:space="0" w:color="auto"/>
        <w:bottom w:val="none" w:sz="0" w:space="0" w:color="auto"/>
        <w:right w:val="none" w:sz="0" w:space="0" w:color="auto"/>
      </w:divBdr>
    </w:div>
    <w:div w:id="1728065421">
      <w:bodyDiv w:val="1"/>
      <w:marLeft w:val="0"/>
      <w:marRight w:val="0"/>
      <w:marTop w:val="0"/>
      <w:marBottom w:val="0"/>
      <w:divBdr>
        <w:top w:val="none" w:sz="0" w:space="0" w:color="auto"/>
        <w:left w:val="none" w:sz="0" w:space="0" w:color="auto"/>
        <w:bottom w:val="none" w:sz="0" w:space="0" w:color="auto"/>
        <w:right w:val="none" w:sz="0" w:space="0" w:color="auto"/>
      </w:divBdr>
    </w:div>
    <w:div w:id="1734964422">
      <w:bodyDiv w:val="1"/>
      <w:marLeft w:val="0"/>
      <w:marRight w:val="0"/>
      <w:marTop w:val="0"/>
      <w:marBottom w:val="0"/>
      <w:divBdr>
        <w:top w:val="none" w:sz="0" w:space="0" w:color="auto"/>
        <w:left w:val="none" w:sz="0" w:space="0" w:color="auto"/>
        <w:bottom w:val="none" w:sz="0" w:space="0" w:color="auto"/>
        <w:right w:val="none" w:sz="0" w:space="0" w:color="auto"/>
      </w:divBdr>
    </w:div>
    <w:div w:id="1741370142">
      <w:bodyDiv w:val="1"/>
      <w:marLeft w:val="0"/>
      <w:marRight w:val="0"/>
      <w:marTop w:val="0"/>
      <w:marBottom w:val="0"/>
      <w:divBdr>
        <w:top w:val="none" w:sz="0" w:space="0" w:color="auto"/>
        <w:left w:val="none" w:sz="0" w:space="0" w:color="auto"/>
        <w:bottom w:val="none" w:sz="0" w:space="0" w:color="auto"/>
        <w:right w:val="none" w:sz="0" w:space="0" w:color="auto"/>
      </w:divBdr>
    </w:div>
    <w:div w:id="1753743965">
      <w:bodyDiv w:val="1"/>
      <w:marLeft w:val="0"/>
      <w:marRight w:val="0"/>
      <w:marTop w:val="0"/>
      <w:marBottom w:val="0"/>
      <w:divBdr>
        <w:top w:val="none" w:sz="0" w:space="0" w:color="auto"/>
        <w:left w:val="none" w:sz="0" w:space="0" w:color="auto"/>
        <w:bottom w:val="none" w:sz="0" w:space="0" w:color="auto"/>
        <w:right w:val="none" w:sz="0" w:space="0" w:color="auto"/>
      </w:divBdr>
    </w:div>
    <w:div w:id="1755709453">
      <w:bodyDiv w:val="1"/>
      <w:marLeft w:val="0"/>
      <w:marRight w:val="0"/>
      <w:marTop w:val="0"/>
      <w:marBottom w:val="0"/>
      <w:divBdr>
        <w:top w:val="none" w:sz="0" w:space="0" w:color="auto"/>
        <w:left w:val="none" w:sz="0" w:space="0" w:color="auto"/>
        <w:bottom w:val="none" w:sz="0" w:space="0" w:color="auto"/>
        <w:right w:val="none" w:sz="0" w:space="0" w:color="auto"/>
      </w:divBdr>
    </w:div>
    <w:div w:id="1756247682">
      <w:bodyDiv w:val="1"/>
      <w:marLeft w:val="0"/>
      <w:marRight w:val="0"/>
      <w:marTop w:val="0"/>
      <w:marBottom w:val="0"/>
      <w:divBdr>
        <w:top w:val="none" w:sz="0" w:space="0" w:color="auto"/>
        <w:left w:val="none" w:sz="0" w:space="0" w:color="auto"/>
        <w:bottom w:val="none" w:sz="0" w:space="0" w:color="auto"/>
        <w:right w:val="none" w:sz="0" w:space="0" w:color="auto"/>
      </w:divBdr>
    </w:div>
    <w:div w:id="1775974940">
      <w:bodyDiv w:val="1"/>
      <w:marLeft w:val="0"/>
      <w:marRight w:val="0"/>
      <w:marTop w:val="0"/>
      <w:marBottom w:val="0"/>
      <w:divBdr>
        <w:top w:val="none" w:sz="0" w:space="0" w:color="auto"/>
        <w:left w:val="none" w:sz="0" w:space="0" w:color="auto"/>
        <w:bottom w:val="none" w:sz="0" w:space="0" w:color="auto"/>
        <w:right w:val="none" w:sz="0" w:space="0" w:color="auto"/>
      </w:divBdr>
    </w:div>
    <w:div w:id="1779135108">
      <w:bodyDiv w:val="1"/>
      <w:marLeft w:val="0"/>
      <w:marRight w:val="0"/>
      <w:marTop w:val="0"/>
      <w:marBottom w:val="0"/>
      <w:divBdr>
        <w:top w:val="none" w:sz="0" w:space="0" w:color="auto"/>
        <w:left w:val="none" w:sz="0" w:space="0" w:color="auto"/>
        <w:bottom w:val="none" w:sz="0" w:space="0" w:color="auto"/>
        <w:right w:val="none" w:sz="0" w:space="0" w:color="auto"/>
      </w:divBdr>
    </w:div>
    <w:div w:id="1779830304">
      <w:bodyDiv w:val="1"/>
      <w:marLeft w:val="0"/>
      <w:marRight w:val="0"/>
      <w:marTop w:val="0"/>
      <w:marBottom w:val="0"/>
      <w:divBdr>
        <w:top w:val="none" w:sz="0" w:space="0" w:color="auto"/>
        <w:left w:val="none" w:sz="0" w:space="0" w:color="auto"/>
        <w:bottom w:val="none" w:sz="0" w:space="0" w:color="auto"/>
        <w:right w:val="none" w:sz="0" w:space="0" w:color="auto"/>
      </w:divBdr>
    </w:div>
    <w:div w:id="1808236315">
      <w:bodyDiv w:val="1"/>
      <w:marLeft w:val="0"/>
      <w:marRight w:val="0"/>
      <w:marTop w:val="0"/>
      <w:marBottom w:val="0"/>
      <w:divBdr>
        <w:top w:val="none" w:sz="0" w:space="0" w:color="auto"/>
        <w:left w:val="none" w:sz="0" w:space="0" w:color="auto"/>
        <w:bottom w:val="none" w:sz="0" w:space="0" w:color="auto"/>
        <w:right w:val="none" w:sz="0" w:space="0" w:color="auto"/>
      </w:divBdr>
    </w:div>
    <w:div w:id="1823622050">
      <w:bodyDiv w:val="1"/>
      <w:marLeft w:val="0"/>
      <w:marRight w:val="0"/>
      <w:marTop w:val="0"/>
      <w:marBottom w:val="0"/>
      <w:divBdr>
        <w:top w:val="none" w:sz="0" w:space="0" w:color="auto"/>
        <w:left w:val="none" w:sz="0" w:space="0" w:color="auto"/>
        <w:bottom w:val="none" w:sz="0" w:space="0" w:color="auto"/>
        <w:right w:val="none" w:sz="0" w:space="0" w:color="auto"/>
      </w:divBdr>
    </w:div>
    <w:div w:id="1827550624">
      <w:bodyDiv w:val="1"/>
      <w:marLeft w:val="0"/>
      <w:marRight w:val="0"/>
      <w:marTop w:val="0"/>
      <w:marBottom w:val="0"/>
      <w:divBdr>
        <w:top w:val="none" w:sz="0" w:space="0" w:color="auto"/>
        <w:left w:val="none" w:sz="0" w:space="0" w:color="auto"/>
        <w:bottom w:val="none" w:sz="0" w:space="0" w:color="auto"/>
        <w:right w:val="none" w:sz="0" w:space="0" w:color="auto"/>
      </w:divBdr>
    </w:div>
    <w:div w:id="1838761784">
      <w:bodyDiv w:val="1"/>
      <w:marLeft w:val="0"/>
      <w:marRight w:val="0"/>
      <w:marTop w:val="0"/>
      <w:marBottom w:val="0"/>
      <w:divBdr>
        <w:top w:val="none" w:sz="0" w:space="0" w:color="auto"/>
        <w:left w:val="none" w:sz="0" w:space="0" w:color="auto"/>
        <w:bottom w:val="none" w:sz="0" w:space="0" w:color="auto"/>
        <w:right w:val="none" w:sz="0" w:space="0" w:color="auto"/>
      </w:divBdr>
    </w:div>
    <w:div w:id="1847670953">
      <w:bodyDiv w:val="1"/>
      <w:marLeft w:val="0"/>
      <w:marRight w:val="0"/>
      <w:marTop w:val="0"/>
      <w:marBottom w:val="0"/>
      <w:divBdr>
        <w:top w:val="none" w:sz="0" w:space="0" w:color="auto"/>
        <w:left w:val="none" w:sz="0" w:space="0" w:color="auto"/>
        <w:bottom w:val="none" w:sz="0" w:space="0" w:color="auto"/>
        <w:right w:val="none" w:sz="0" w:space="0" w:color="auto"/>
      </w:divBdr>
    </w:div>
    <w:div w:id="1849520784">
      <w:bodyDiv w:val="1"/>
      <w:marLeft w:val="0"/>
      <w:marRight w:val="0"/>
      <w:marTop w:val="0"/>
      <w:marBottom w:val="0"/>
      <w:divBdr>
        <w:top w:val="none" w:sz="0" w:space="0" w:color="auto"/>
        <w:left w:val="none" w:sz="0" w:space="0" w:color="auto"/>
        <w:bottom w:val="none" w:sz="0" w:space="0" w:color="auto"/>
        <w:right w:val="none" w:sz="0" w:space="0" w:color="auto"/>
      </w:divBdr>
    </w:div>
    <w:div w:id="1879775708">
      <w:bodyDiv w:val="1"/>
      <w:marLeft w:val="0"/>
      <w:marRight w:val="0"/>
      <w:marTop w:val="0"/>
      <w:marBottom w:val="0"/>
      <w:divBdr>
        <w:top w:val="none" w:sz="0" w:space="0" w:color="auto"/>
        <w:left w:val="none" w:sz="0" w:space="0" w:color="auto"/>
        <w:bottom w:val="none" w:sz="0" w:space="0" w:color="auto"/>
        <w:right w:val="none" w:sz="0" w:space="0" w:color="auto"/>
      </w:divBdr>
    </w:div>
    <w:div w:id="1889535281">
      <w:bodyDiv w:val="1"/>
      <w:marLeft w:val="0"/>
      <w:marRight w:val="0"/>
      <w:marTop w:val="0"/>
      <w:marBottom w:val="0"/>
      <w:divBdr>
        <w:top w:val="none" w:sz="0" w:space="0" w:color="auto"/>
        <w:left w:val="none" w:sz="0" w:space="0" w:color="auto"/>
        <w:bottom w:val="none" w:sz="0" w:space="0" w:color="auto"/>
        <w:right w:val="none" w:sz="0" w:space="0" w:color="auto"/>
      </w:divBdr>
    </w:div>
    <w:div w:id="1930314432">
      <w:bodyDiv w:val="1"/>
      <w:marLeft w:val="0"/>
      <w:marRight w:val="0"/>
      <w:marTop w:val="0"/>
      <w:marBottom w:val="0"/>
      <w:divBdr>
        <w:top w:val="none" w:sz="0" w:space="0" w:color="auto"/>
        <w:left w:val="none" w:sz="0" w:space="0" w:color="auto"/>
        <w:bottom w:val="none" w:sz="0" w:space="0" w:color="auto"/>
        <w:right w:val="none" w:sz="0" w:space="0" w:color="auto"/>
      </w:divBdr>
    </w:div>
    <w:div w:id="1932856712">
      <w:bodyDiv w:val="1"/>
      <w:marLeft w:val="0"/>
      <w:marRight w:val="0"/>
      <w:marTop w:val="0"/>
      <w:marBottom w:val="0"/>
      <w:divBdr>
        <w:top w:val="none" w:sz="0" w:space="0" w:color="auto"/>
        <w:left w:val="none" w:sz="0" w:space="0" w:color="auto"/>
        <w:bottom w:val="none" w:sz="0" w:space="0" w:color="auto"/>
        <w:right w:val="none" w:sz="0" w:space="0" w:color="auto"/>
      </w:divBdr>
    </w:div>
    <w:div w:id="1935823313">
      <w:bodyDiv w:val="1"/>
      <w:marLeft w:val="0"/>
      <w:marRight w:val="0"/>
      <w:marTop w:val="0"/>
      <w:marBottom w:val="0"/>
      <w:divBdr>
        <w:top w:val="none" w:sz="0" w:space="0" w:color="auto"/>
        <w:left w:val="none" w:sz="0" w:space="0" w:color="auto"/>
        <w:bottom w:val="none" w:sz="0" w:space="0" w:color="auto"/>
        <w:right w:val="none" w:sz="0" w:space="0" w:color="auto"/>
      </w:divBdr>
    </w:div>
    <w:div w:id="1943756783">
      <w:bodyDiv w:val="1"/>
      <w:marLeft w:val="0"/>
      <w:marRight w:val="0"/>
      <w:marTop w:val="0"/>
      <w:marBottom w:val="0"/>
      <w:divBdr>
        <w:top w:val="none" w:sz="0" w:space="0" w:color="auto"/>
        <w:left w:val="none" w:sz="0" w:space="0" w:color="auto"/>
        <w:bottom w:val="none" w:sz="0" w:space="0" w:color="auto"/>
        <w:right w:val="none" w:sz="0" w:space="0" w:color="auto"/>
      </w:divBdr>
    </w:div>
    <w:div w:id="1947686206">
      <w:bodyDiv w:val="1"/>
      <w:marLeft w:val="0"/>
      <w:marRight w:val="0"/>
      <w:marTop w:val="0"/>
      <w:marBottom w:val="0"/>
      <w:divBdr>
        <w:top w:val="none" w:sz="0" w:space="0" w:color="auto"/>
        <w:left w:val="none" w:sz="0" w:space="0" w:color="auto"/>
        <w:bottom w:val="none" w:sz="0" w:space="0" w:color="auto"/>
        <w:right w:val="none" w:sz="0" w:space="0" w:color="auto"/>
      </w:divBdr>
    </w:div>
    <w:div w:id="1954820501">
      <w:bodyDiv w:val="1"/>
      <w:marLeft w:val="0"/>
      <w:marRight w:val="0"/>
      <w:marTop w:val="0"/>
      <w:marBottom w:val="0"/>
      <w:divBdr>
        <w:top w:val="none" w:sz="0" w:space="0" w:color="auto"/>
        <w:left w:val="none" w:sz="0" w:space="0" w:color="auto"/>
        <w:bottom w:val="none" w:sz="0" w:space="0" w:color="auto"/>
        <w:right w:val="none" w:sz="0" w:space="0" w:color="auto"/>
      </w:divBdr>
    </w:div>
    <w:div w:id="1999654935">
      <w:bodyDiv w:val="1"/>
      <w:marLeft w:val="0"/>
      <w:marRight w:val="0"/>
      <w:marTop w:val="0"/>
      <w:marBottom w:val="0"/>
      <w:divBdr>
        <w:top w:val="none" w:sz="0" w:space="0" w:color="auto"/>
        <w:left w:val="none" w:sz="0" w:space="0" w:color="auto"/>
        <w:bottom w:val="none" w:sz="0" w:space="0" w:color="auto"/>
        <w:right w:val="none" w:sz="0" w:space="0" w:color="auto"/>
      </w:divBdr>
    </w:div>
    <w:div w:id="2030989266">
      <w:bodyDiv w:val="1"/>
      <w:marLeft w:val="0"/>
      <w:marRight w:val="0"/>
      <w:marTop w:val="0"/>
      <w:marBottom w:val="0"/>
      <w:divBdr>
        <w:top w:val="none" w:sz="0" w:space="0" w:color="auto"/>
        <w:left w:val="none" w:sz="0" w:space="0" w:color="auto"/>
        <w:bottom w:val="none" w:sz="0" w:space="0" w:color="auto"/>
        <w:right w:val="none" w:sz="0" w:space="0" w:color="auto"/>
      </w:divBdr>
    </w:div>
    <w:div w:id="2033264411">
      <w:bodyDiv w:val="1"/>
      <w:marLeft w:val="0"/>
      <w:marRight w:val="0"/>
      <w:marTop w:val="0"/>
      <w:marBottom w:val="0"/>
      <w:divBdr>
        <w:top w:val="none" w:sz="0" w:space="0" w:color="auto"/>
        <w:left w:val="none" w:sz="0" w:space="0" w:color="auto"/>
        <w:bottom w:val="none" w:sz="0" w:space="0" w:color="auto"/>
        <w:right w:val="none" w:sz="0" w:space="0" w:color="auto"/>
      </w:divBdr>
    </w:div>
    <w:div w:id="2037466634">
      <w:bodyDiv w:val="1"/>
      <w:marLeft w:val="0"/>
      <w:marRight w:val="0"/>
      <w:marTop w:val="0"/>
      <w:marBottom w:val="0"/>
      <w:divBdr>
        <w:top w:val="none" w:sz="0" w:space="0" w:color="auto"/>
        <w:left w:val="none" w:sz="0" w:space="0" w:color="auto"/>
        <w:bottom w:val="none" w:sz="0" w:space="0" w:color="auto"/>
        <w:right w:val="none" w:sz="0" w:space="0" w:color="auto"/>
      </w:divBdr>
    </w:div>
    <w:div w:id="2076277261">
      <w:bodyDiv w:val="1"/>
      <w:marLeft w:val="0"/>
      <w:marRight w:val="0"/>
      <w:marTop w:val="0"/>
      <w:marBottom w:val="0"/>
      <w:divBdr>
        <w:top w:val="none" w:sz="0" w:space="0" w:color="auto"/>
        <w:left w:val="none" w:sz="0" w:space="0" w:color="auto"/>
        <w:bottom w:val="none" w:sz="0" w:space="0" w:color="auto"/>
        <w:right w:val="none" w:sz="0" w:space="0" w:color="auto"/>
      </w:divBdr>
    </w:div>
    <w:div w:id="2109502797">
      <w:bodyDiv w:val="1"/>
      <w:marLeft w:val="0"/>
      <w:marRight w:val="0"/>
      <w:marTop w:val="0"/>
      <w:marBottom w:val="0"/>
      <w:divBdr>
        <w:top w:val="none" w:sz="0" w:space="0" w:color="auto"/>
        <w:left w:val="none" w:sz="0" w:space="0" w:color="auto"/>
        <w:bottom w:val="none" w:sz="0" w:space="0" w:color="auto"/>
        <w:right w:val="none" w:sz="0" w:space="0" w:color="auto"/>
      </w:divBdr>
    </w:div>
    <w:div w:id="2121601030">
      <w:bodyDiv w:val="1"/>
      <w:marLeft w:val="0"/>
      <w:marRight w:val="0"/>
      <w:marTop w:val="0"/>
      <w:marBottom w:val="0"/>
      <w:divBdr>
        <w:top w:val="none" w:sz="0" w:space="0" w:color="auto"/>
        <w:left w:val="none" w:sz="0" w:space="0" w:color="auto"/>
        <w:bottom w:val="none" w:sz="0" w:space="0" w:color="auto"/>
        <w:right w:val="none" w:sz="0" w:space="0" w:color="auto"/>
      </w:divBdr>
    </w:div>
    <w:div w:id="2133818486">
      <w:bodyDiv w:val="1"/>
      <w:marLeft w:val="0"/>
      <w:marRight w:val="0"/>
      <w:marTop w:val="0"/>
      <w:marBottom w:val="0"/>
      <w:divBdr>
        <w:top w:val="none" w:sz="0" w:space="0" w:color="auto"/>
        <w:left w:val="none" w:sz="0" w:space="0" w:color="auto"/>
        <w:bottom w:val="none" w:sz="0" w:space="0" w:color="auto"/>
        <w:right w:val="none" w:sz="0" w:space="0" w:color="auto"/>
      </w:divBdr>
    </w:div>
    <w:div w:id="2134015503">
      <w:bodyDiv w:val="1"/>
      <w:marLeft w:val="0"/>
      <w:marRight w:val="0"/>
      <w:marTop w:val="0"/>
      <w:marBottom w:val="0"/>
      <w:divBdr>
        <w:top w:val="none" w:sz="0" w:space="0" w:color="auto"/>
        <w:left w:val="none" w:sz="0" w:space="0" w:color="auto"/>
        <w:bottom w:val="none" w:sz="0" w:space="0" w:color="auto"/>
        <w:right w:val="none" w:sz="0" w:space="0" w:color="auto"/>
      </w:divBdr>
    </w:div>
    <w:div w:id="2134714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uidance/planning-obligations" TargetMode="External"/><Relationship Id="rId18" Type="http://schemas.openxmlformats.org/officeDocument/2006/relationships/hyperlink" Target="https://birdaware.org/solent/"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astleigh.gov.uk/planning-and-building/planning-policy-and-implementation/local-plan/local-plan-review/local-development-schem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birdaware.org/"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astleigh.gov.uk/media/1529/supplementary20planning20document20adopted202008-1.pdf" TargetMode="External"/><Relationship Id="rId20" Type="http://schemas.openxmlformats.org/officeDocument/2006/relationships/hyperlink" Target="https://www.eastleigh.gov.uk/latest-news/council-takes-action-to-tackle-impact-of-phosphat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astleigh.gov.uk/council/your-local-area" TargetMode="External"/><Relationship Id="rId23" Type="http://schemas.openxmlformats.org/officeDocument/2006/relationships/hyperlink" Target="https://www.eastleigh.gov.uk/planning-and-building/planning-policy-and-implementation/local-plan/local-plan-review/call-for-sites" TargetMode="External"/><Relationship Id="rId10" Type="http://schemas.openxmlformats.org/officeDocument/2006/relationships/endnotes" Target="endnotes.xml"/><Relationship Id="rId19" Type="http://schemas.openxmlformats.org/officeDocument/2006/relationships/hyperlink" Target="https://www.eastleigh.gov.uk/planning-and-building/nutrient-offset-schem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astleigh.gov.uk/planning-and-building/planning-permission/planning-obligations/securing-planning-obligations" TargetMode="External"/><Relationship Id="rId22" Type="http://schemas.openxmlformats.org/officeDocument/2006/relationships/hyperlink" Target="https://www.eastleigh.gov.uk/planning-and-building/planning-policy-and-implementation/local-plan/local-plan-review/statement-of-community-involveme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astleigh.gov.uk/media/12134/appendix-19-appendix-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c6295d-1f29-4022-9d1a-fa9c2778f768">
      <Terms xmlns="http://schemas.microsoft.com/office/infopath/2007/PartnerControls"/>
    </lcf76f155ced4ddcb4097134ff3c332f>
    <TaxCatchAll xmlns="40609954-fd51-4c7b-953c-2b22d0e23bf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BA5BB97A47B6543846D07FB28E7FFC6" ma:contentTypeVersion="19" ma:contentTypeDescription="Create a new document." ma:contentTypeScope="" ma:versionID="3b193399b87b8c5572db8ae12d010a22">
  <xsd:schema xmlns:xsd="http://www.w3.org/2001/XMLSchema" xmlns:xs="http://www.w3.org/2001/XMLSchema" xmlns:p="http://schemas.microsoft.com/office/2006/metadata/properties" xmlns:ns2="77c6295d-1f29-4022-9d1a-fa9c2778f768" xmlns:ns3="40609954-fd51-4c7b-953c-2b22d0e23bf3" targetNamespace="http://schemas.microsoft.com/office/2006/metadata/properties" ma:root="true" ma:fieldsID="ea6afcf779fea8491402786d0900abf9" ns2:_="" ns3:_="">
    <xsd:import namespace="77c6295d-1f29-4022-9d1a-fa9c2778f768"/>
    <xsd:import namespace="40609954-fd51-4c7b-953c-2b22d0e23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3:TaxCatchAll"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6295d-1f29-4022-9d1a-fa9c2778f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f122b98-da75-4a75-834d-1aae3a7db2e2"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609954-fd51-4c7b-953c-2b22d0e23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d48ce31-a550-494a-ac25-b07d30f98015}" ma:internalName="TaxCatchAll" ma:showField="CatchAllData" ma:web="40609954-fd51-4c7b-953c-2b22d0e23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22666-151E-48FE-BA04-11EF0FD7F743}">
  <ds:schemaRefs>
    <ds:schemaRef ds:uri="http://schemas.microsoft.com/office/2006/metadata/properties"/>
    <ds:schemaRef ds:uri="http://schemas.microsoft.com/office/infopath/2007/PartnerControls"/>
    <ds:schemaRef ds:uri="77c6295d-1f29-4022-9d1a-fa9c2778f768"/>
    <ds:schemaRef ds:uri="40609954-fd51-4c7b-953c-2b22d0e23bf3"/>
  </ds:schemaRefs>
</ds:datastoreItem>
</file>

<file path=customXml/itemProps2.xml><?xml version="1.0" encoding="utf-8"?>
<ds:datastoreItem xmlns:ds="http://schemas.openxmlformats.org/officeDocument/2006/customXml" ds:itemID="{5952E8A3-993D-4E1B-A0BF-A6F898383DE0}">
  <ds:schemaRefs>
    <ds:schemaRef ds:uri="http://schemas.microsoft.com/sharepoint/v3/contenttype/forms"/>
  </ds:schemaRefs>
</ds:datastoreItem>
</file>

<file path=customXml/itemProps3.xml><?xml version="1.0" encoding="utf-8"?>
<ds:datastoreItem xmlns:ds="http://schemas.openxmlformats.org/officeDocument/2006/customXml" ds:itemID="{287A34EE-F8AF-40D3-A3C7-BC061EC5AAB4}">
  <ds:schemaRefs>
    <ds:schemaRef ds:uri="http://schemas.openxmlformats.org/officeDocument/2006/bibliography"/>
  </ds:schemaRefs>
</ds:datastoreItem>
</file>

<file path=customXml/itemProps4.xml><?xml version="1.0" encoding="utf-8"?>
<ds:datastoreItem xmlns:ds="http://schemas.openxmlformats.org/officeDocument/2006/customXml" ds:itemID="{DDDD1A66-B7A8-408B-A568-75B45BE47D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6295d-1f29-4022-9d1a-fa9c2778f768"/>
    <ds:schemaRef ds:uri="40609954-fd51-4c7b-953c-2b22d0e23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5488</Words>
  <Characters>31283</Characters>
  <Application>Microsoft Office Word</Application>
  <DocSecurity>0</DocSecurity>
  <Lines>260</Lines>
  <Paragraphs>73</Paragraphs>
  <ScaleCrop>false</ScaleCrop>
  <Company/>
  <LinksUpToDate>false</LinksUpToDate>
  <CharactersWithSpaces>36698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Exacom</dc:creator>
  <cp:keywords/>
  <dc:description/>
  <cp:lastModifiedBy>Errington, Dawn</cp:lastModifiedBy>
  <cp:revision>4</cp:revision>
  <cp:lastPrinted>2024-01-24T02:30:00Z</cp:lastPrinted>
  <dcterms:created xsi:type="dcterms:W3CDTF">2025-03-10T12:14:00Z</dcterms:created>
  <dcterms:modified xsi:type="dcterms:W3CDTF">2025-03-10T12:18:00Z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0x010100CBA5BB97A47B6543846D07FB28E7FFC6</vt:lpwstr>
  </property>
  <property fmtid="{D5CDD505-2E9C-101B-9397-08002B2CF9AE}" pid="3" name="Order">
    <vt:r8>60000</vt:r8>
  </property>
  <property fmtid="{D5CDD505-2E9C-101B-9397-08002B2CF9AE}" pid="4" name="MediaServiceImageTags">
    <vt:lpwstr/>
  </property>
</Properties>
</file>